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53 features — frequências de alarmes em janelas rolantes, fingerprint dos top-30 alarmes e contexto operacional (sem a flag do evento atual Is_Dont_Go, removida por ser vazamento concorrente) — alcançou F1-Score de 0,67 e ROC-AUC de 0,99 na predição de Don't Go com 60 minutos de antecedência (validação temporal estrita: treino Jan–Abr, validação Mai, teste Jun). O ganho de F1 sobre a heurística operacional tradicional é de +340%. O threshold de decisão é fixado na validação (Mai) e aplicado intacto ao teste (Jun), nunca selecionado no próprio teste. A análise multi-horizonte demonstra previsão robusta em até 240 minutos (ROC-AUC&gt;0,96 em 4h), cumprindo a promessa operacional do PRD. A análise de custo operacional (FN=R$50K, FP=R$800, razão 62,5×), medida por EPISÓDIO de Don't Go (1 episódio = 1 parada física, não por linha de telemetria), revela que o threshold custo-ótimo economiza ~R$6 milhões no mês de teste em relação ao threshold otimizado por F1, capturando ~99% das paradas reais.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11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(teste, threshold da validação)</w:t>
            </w:r>
          </w:p>
        </w:tc>
        <w:tc>
          <w:tcPr>
            <w:tcW w:type="dxa" w:w="2835"/>
          </w:tcPr>
          <w:p>
            <w:r>
              <w:t>0,673</w:t>
            </w:r>
          </w:p>
        </w:tc>
        <w:tc>
          <w:tcPr>
            <w:tcW w:type="dxa" w:w="2835"/>
          </w:tcPr>
          <w:p>
            <w:r>
              <w:t>+340% de F1 sobre a heurística operacional (regra F1=0,153); sem vazamento Is_Dont_Go (53 features)</w:t>
            </w:r>
          </w:p>
        </w:tc>
      </w:tr>
      <w:tr>
        <w:tc>
          <w:tcPr>
            <w:tcW w:type="dxa" w:w="2835"/>
          </w:tcPr>
          <w:p>
            <w:r>
              <w:t>ROC-AUC (60min)</w:t>
            </w:r>
          </w:p>
        </w:tc>
        <w:tc>
          <w:tcPr>
            <w:tcW w:type="dxa" w:w="2835"/>
          </w:tcPr>
          <w:p>
            <w:r>
              <w:t>0,990</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0,96 mantido em todos os horizontes</w:t>
            </w:r>
          </w:p>
        </w:tc>
      </w:tr>
      <w:tr>
        <w:tc>
          <w:tcPr>
            <w:tcW w:type="dxa" w:w="2835"/>
          </w:tcPr>
          <w:p>
            <w:r>
              <w:t>Economia estimada (Jun)</w:t>
            </w:r>
          </w:p>
        </w:tc>
        <w:tc>
          <w:tcPr>
            <w:tcW w:type="dxa" w:w="2835"/>
          </w:tcPr>
          <w:p>
            <w:r>
              <w:t>~R$ 6 milhões</w:t>
            </w:r>
          </w:p>
        </w:tc>
        <w:tc>
          <w:tcPr>
            <w:tcW w:type="dxa" w:w="2835"/>
          </w:tcPr>
          <w:p>
            <w:r>
              <w:t>Threshold custo-ótimo vs F1-ótimo, por EPISÓDIO de Don't Go,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12 notebooks + dashboard + relatório</w:t>
            </w:r>
          </w:p>
        </w:tc>
        <w:tc>
          <w:tcPr>
            <w:tcW w:type="dxa" w:w="2835"/>
          </w:tcPr>
          <w:p>
            <w:r>
              <w:t>Streamlit local; 9 dashboards HTML standalone; modelo calibrado; detector de drift</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0.3297.</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0.9905</w:t>
            </w:r>
          </w:p>
        </w:tc>
        <w:tc>
          <w:tcPr>
            <w:tcW w:type="dxa" w:w="2835"/>
          </w:tcPr>
          <w:p>
            <w:r>
              <w:t>Discriminação quase perfeita entre eventos pré-DG e não-DG</w:t>
            </w:r>
          </w:p>
        </w:tc>
      </w:tr>
      <w:tr>
        <w:tc>
          <w:tcPr>
            <w:tcW w:type="dxa" w:w="2835"/>
          </w:tcPr>
          <w:p>
            <w:r>
              <w:t>PR-AUC (Avg Precision)</w:t>
            </w:r>
          </w:p>
        </w:tc>
        <w:tc>
          <w:tcPr>
            <w:tcW w:type="dxa" w:w="2835"/>
          </w:tcPr>
          <w:p>
            <w:r>
              <w:t>0.6030</w:t>
            </w:r>
          </w:p>
        </w:tc>
        <w:tc>
          <w:tcPr>
            <w:tcW w:type="dxa" w:w="2835"/>
          </w:tcPr>
          <w:p>
            <w:r>
              <w:t>Muito bom para desbalanceamento de 0,45% positivos</w:t>
            </w:r>
          </w:p>
        </w:tc>
      </w:tr>
      <w:tr>
        <w:tc>
          <w:tcPr>
            <w:tcW w:type="dxa" w:w="2835"/>
          </w:tcPr>
          <w:p>
            <w:r>
              <w:t>F1-Score</w:t>
            </w:r>
          </w:p>
        </w:tc>
        <w:tc>
          <w:tcPr>
            <w:tcW w:type="dxa" w:w="2835"/>
          </w:tcPr>
          <w:p>
            <w:r>
              <w:t>0.6732</w:t>
            </w:r>
          </w:p>
        </w:tc>
        <w:tc>
          <w:tcPr>
            <w:tcW w:type="dxa" w:w="2835"/>
          </w:tcPr>
          <w:p>
            <w:r>
              <w:t>Equilíbrio precision-recall no limiar ótimo</w:t>
            </w:r>
          </w:p>
        </w:tc>
      </w:tr>
      <w:tr>
        <w:tc>
          <w:tcPr>
            <w:tcW w:type="dxa" w:w="2835"/>
          </w:tcPr>
          <w:p>
            <w:r>
              <w:t>Precision</w:t>
            </w:r>
          </w:p>
        </w:tc>
        <w:tc>
          <w:tcPr>
            <w:tcW w:type="dxa" w:w="2835"/>
          </w:tcPr>
          <w:p>
            <w:r>
              <w:t>0.6899</w:t>
            </w:r>
          </w:p>
        </w:tc>
        <w:tc>
          <w:tcPr>
            <w:tcW w:type="dxa" w:w="2835"/>
          </w:tcPr>
          <w:p>
            <w:r>
              <w:t>69% dos alertas emitidos correspondem a DG real</w:t>
            </w:r>
          </w:p>
        </w:tc>
      </w:tr>
      <w:tr>
        <w:tc>
          <w:tcPr>
            <w:tcW w:type="dxa" w:w="2835"/>
          </w:tcPr>
          <w:p>
            <w:r>
              <w:t>Recall</w:t>
            </w:r>
          </w:p>
        </w:tc>
        <w:tc>
          <w:tcPr>
            <w:tcW w:type="dxa" w:w="2835"/>
          </w:tcPr>
          <w:p>
            <w:r>
              <w:t>0.6573</w:t>
            </w:r>
          </w:p>
        </w:tc>
        <w:tc>
          <w:tcPr>
            <w:tcW w:type="dxa" w:w="2835"/>
          </w:tcPr>
          <w:p>
            <w:r>
              <w:t>66% dos eventos pré-DG são capturados com ≥1h de antecedência</w:t>
            </w:r>
          </w:p>
        </w:tc>
      </w:tr>
      <w:tr>
        <w:tc>
          <w:tcPr>
            <w:tcW w:type="dxa" w:w="2835"/>
          </w:tcPr>
          <w:p>
            <w:r>
              <w:t>Limiar ótimo</w:t>
            </w:r>
          </w:p>
        </w:tc>
        <w:tc>
          <w:tcPr>
            <w:tcW w:type="dxa" w:w="2835"/>
          </w:tcPr>
          <w:p>
            <w:r>
              <w:t>0.3297</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165231"/>
            <wp:docPr id="28" name="Picture 28"/>
            <wp:cNvGraphicFramePr>
              <a:graphicFrameLocks noChangeAspect="1"/>
            </wp:cNvGraphicFramePr>
            <a:graphic>
              <a:graphicData uri="http://schemas.openxmlformats.org/drawingml/2006/picture">
                <pic:pic>
                  <pic:nvPicPr>
                    <pic:cNvPr id="0" name="roc_curve.png"/>
                    <pic:cNvPicPr/>
                  </pic:nvPicPr>
                  <pic:blipFill>
                    <a:blip r:embed="rId45"/>
                    <a:stretch>
                      <a:fillRect/>
                    </a:stretch>
                  </pic:blipFill>
                  <pic:spPr>
                    <a:xfrm>
                      <a:off x="0" y="0"/>
                      <a:ext cx="4114800" cy="3165231"/>
                    </a:xfrm>
                    <a:prstGeom prst="rect"/>
                  </pic:spPr>
                </pic:pic>
              </a:graphicData>
            </a:graphic>
          </wp:inline>
        </w:drawing>
      </w:r>
    </w:p>
    <w:p>
      <w:pPr>
        <w:jc w:val="center"/>
      </w:pPr>
      <w:r>
        <w:drawing>
          <wp:inline xmlns:a="http://schemas.openxmlformats.org/drawingml/2006/main" xmlns:pic="http://schemas.openxmlformats.org/drawingml/2006/picture">
            <wp:extent cx="3200400" cy="2844800"/>
            <wp:docPr id="27" name="Picture 27"/>
            <wp:cNvGraphicFramePr>
              <a:graphicFrameLocks noChangeAspect="1"/>
            </wp:cNvGraphicFramePr>
            <a:graphic>
              <a:graphicData uri="http://schemas.openxmlformats.org/drawingml/2006/picture">
                <pic:pic>
                  <pic:nvPicPr>
                    <pic:cNvPr id="0" name="confusion_matrix.png"/>
                    <pic:cNvPicPr/>
                  </pic:nvPicPr>
                  <pic:blipFill>
                    <a:blip r:embed="rId44"/>
                    <a:stretch>
                      <a:fillRect/>
                    </a:stretch>
                  </pic:blipFill>
                  <pic:spPr>
                    <a:xfrm>
                      <a:off x="0" y="0"/>
                      <a:ext cx="3200400" cy="284480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Nota metodológica: esta tabela é o benchmark formal de cinco modelos (Sprint 1), no qual cada modelo é pontuado no mesmo harness unificado sobre a matriz Gold para uma comparação justa. A métrica canônica do modelo de produção — sem a flag de vazamento Is_Dont_Go e com o threshold de decisão fixado na validação (Mai) e aplicado intacto ao teste (Jun) — é F1=0,673, ROC-AUC=0,990, PR-AUC=0,603 (ver model_metrics.json). As pequenas diferenças de casas decimais entre o harness de comparação e o pipeline canônico não alteram o ranking dos modelos nem nenhuma conclusão.</w:t>
      </w:r>
    </w:p>
    <w:p>
      <w:r>
        <w:rPr>
          <w:sz w:val="22"/>
        </w:rPr>
        <w:t>Três observações principais emergem desta comparação:</w:t>
      </w:r>
    </w:p>
    <w:p>
      <w:pPr>
        <w:pStyle w:val="Commarcadores"/>
      </w:pPr>
      <w:r>
        <w:rPr>
          <w:sz w:val="22"/>
        </w:rPr>
        <w:t>Ganho de F1 do ML sobre a heurística operacional: +340% (0,673 vs 0,153).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26" name="Picture 26"/>
            <wp:cNvGraphicFramePr>
              <a:graphicFrameLocks noChangeAspect="1"/>
            </wp:cNvGraphicFramePr>
            <a:graphic>
              <a:graphicData uri="http://schemas.openxmlformats.org/drawingml/2006/picture">
                <pic:pic>
                  <pic:nvPicPr>
                    <pic:cNvPr id="0" name="comparison_f1_bar.png"/>
                    <pic:cNvPicPr/>
                  </pic:nvPicPr>
                  <pic:blipFill>
                    <a:blip r:embed="rId43"/>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25" name="Picture 25"/>
            <wp:cNvGraphicFramePr>
              <a:graphicFrameLocks noChangeAspect="1"/>
            </wp:cNvGraphicFramePr>
            <a:graphic>
              <a:graphicData uri="http://schemas.openxmlformats.org/drawingml/2006/picture">
                <pic:pic>
                  <pic:nvPicPr>
                    <pic:cNvPr id="0" name="comparison_pr_curves.png"/>
                    <pic:cNvPicPr/>
                  </pic:nvPicPr>
                  <pic:blipFill>
                    <a:blip r:embed="rId42"/>
                    <a:stretch>
                      <a:fillRect/>
                    </a:stretch>
                  </pic:blipFill>
                  <pic:spPr>
                    <a:xfrm>
                      <a:off x="0" y="0"/>
                      <a:ext cx="4572000" cy="4000500"/>
                    </a:xfrm>
                    <a:prstGeom prst="rect"/>
                  </pic:spPr>
                </pic:pic>
              </a:graphicData>
            </a:graphic>
          </wp:inline>
        </w:drawing>
      </w:r>
    </w:p>
    <w:p>
      <w:pPr>
        <w:pStyle w:val="Ttulo2"/>
      </w:pPr>
      <w:r>
        <w:rPr>
          <w:color w:val="00A650"/>
        </w:rPr>
        <w:t>Ensemble Random Forest + LightGBM — Tentativa de Romper o Teto</w:t>
      </w:r>
    </w:p>
    <w:p>
      <w:r>
        <w:rPr>
          <w:sz w:val="22"/>
        </w:rPr>
        <w:t>Dado que Random Forest e LightGBM empatam tecnicamente mas erram por mecanismos distintos (bagging de árvores independentes vs. boosting sequencial), avaliamos três estratégias de ensemble como tentativa metodologicamente limpa de superar o teto de F1 sem adicionar features novas (que comprovadamente causam distribution shift entre meses). Todas as estratégias têm threshold F1-ótimo calibrado na validação (Mai/2025) e são avaliadas no teste (Jun/2025):</w:t>
      </w:r>
    </w:p>
    <w:p>
      <w:pPr>
        <w:pStyle w:val="Commarcadores"/>
      </w:pPr>
      <w:r>
        <w:rPr>
          <w:sz w:val="22"/>
        </w:rPr>
        <w:t>Soft-voting — média simples das probabilidades dos dois modelos.</w:t>
      </w:r>
    </w:p>
    <w:p>
      <w:pPr>
        <w:pStyle w:val="Commarcadores"/>
      </w:pPr>
      <w:r>
        <w:rPr>
          <w:sz w:val="22"/>
        </w:rPr>
        <w:t>Média ponderada — peso relativo dos modelos otimizado por busca na validação.</w:t>
      </w:r>
    </w:p>
    <w:p>
      <w:pPr>
        <w:pStyle w:val="Commarcadores"/>
      </w:pPr>
      <w:r>
        <w:rPr>
          <w:sz w:val="22"/>
        </w:rPr>
        <w:t>Stacking — meta-learner (Regressão Logística) treinado sobre as probabilidades dos modelos-base.</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LightGBM</w:t>
            </w:r>
          </w:p>
        </w:tc>
        <w:tc>
          <w:tcPr>
            <w:tcW w:type="dxa" w:w="1417"/>
          </w:tcPr>
          <w:p>
            <w:r>
              <w:t>0,6876</w:t>
            </w:r>
          </w:p>
        </w:tc>
        <w:tc>
          <w:tcPr>
            <w:tcW w:type="dxa" w:w="1417"/>
          </w:tcPr>
          <w:p>
            <w:r>
              <w:t>0,7556</w:t>
            </w:r>
          </w:p>
        </w:tc>
        <w:tc>
          <w:tcPr>
            <w:tcW w:type="dxa" w:w="1417"/>
          </w:tcPr>
          <w:p>
            <w:r>
              <w:t>0,6309</w:t>
            </w:r>
          </w:p>
        </w:tc>
        <w:tc>
          <w:tcPr>
            <w:tcW w:type="dxa" w:w="1417"/>
          </w:tcPr>
          <w:p>
            <w:r>
              <w:t>0,9923</w:t>
            </w:r>
          </w:p>
        </w:tc>
        <w:tc>
          <w:tcPr>
            <w:tcW w:type="dxa" w:w="1417"/>
          </w:tcPr>
          <w:p>
            <w:r>
              <w:t>0,6739</w:t>
            </w:r>
          </w:p>
        </w:tc>
      </w:tr>
      <w:tr>
        <w:tc>
          <w:tcPr>
            <w:tcW w:type="dxa" w:w="1417"/>
          </w:tcPr>
          <w:p>
            <w:r>
              <w:t>RandomForest</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Soft-voting</w:t>
            </w:r>
          </w:p>
        </w:tc>
        <w:tc>
          <w:tcPr>
            <w:tcW w:type="dxa" w:w="1417"/>
          </w:tcPr>
          <w:p>
            <w:r>
              <w:t>0,6768</w:t>
            </w:r>
          </w:p>
        </w:tc>
        <w:tc>
          <w:tcPr>
            <w:tcW w:type="dxa" w:w="1417"/>
          </w:tcPr>
          <w:p>
            <w:r>
              <w:t>0,7417</w:t>
            </w:r>
          </w:p>
        </w:tc>
        <w:tc>
          <w:tcPr>
            <w:tcW w:type="dxa" w:w="1417"/>
          </w:tcPr>
          <w:p>
            <w:r>
              <w:t>0,6224</w:t>
            </w:r>
          </w:p>
        </w:tc>
        <w:tc>
          <w:tcPr>
            <w:tcW w:type="dxa" w:w="1417"/>
          </w:tcPr>
          <w:p>
            <w:r>
              <w:t>0,9935</w:t>
            </w:r>
          </w:p>
        </w:tc>
        <w:tc>
          <w:tcPr>
            <w:tcW w:type="dxa" w:w="1417"/>
          </w:tcPr>
          <w:p>
            <w:r>
              <w:t>0,7124</w:t>
            </w:r>
          </w:p>
        </w:tc>
      </w:tr>
      <w:tr>
        <w:tc>
          <w:tcPr>
            <w:tcW w:type="dxa" w:w="1417"/>
          </w:tcPr>
          <w:p>
            <w:r>
              <w:t>Média ponderada</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Stacking</w:t>
            </w:r>
          </w:p>
        </w:tc>
        <w:tc>
          <w:tcPr>
            <w:tcW w:type="dxa" w:w="1417"/>
          </w:tcPr>
          <w:p>
            <w:r>
              <w:t>0,6769</w:t>
            </w:r>
          </w:p>
        </w:tc>
        <w:tc>
          <w:tcPr>
            <w:tcW w:type="dxa" w:w="1417"/>
          </w:tcPr>
          <w:p>
            <w:r>
              <w:t>0,7420</w:t>
            </w:r>
          </w:p>
        </w:tc>
        <w:tc>
          <w:tcPr>
            <w:tcW w:type="dxa" w:w="1417"/>
          </w:tcPr>
          <w:p>
            <w:r>
              <w:t>0,6222</w:t>
            </w:r>
          </w:p>
        </w:tc>
        <w:tc>
          <w:tcPr>
            <w:tcW w:type="dxa" w:w="1417"/>
          </w:tcPr>
          <w:p>
            <w:r>
              <w:t>0,9936</w:t>
            </w:r>
          </w:p>
        </w:tc>
        <w:tc>
          <w:tcPr>
            <w:tcW w:type="dxa" w:w="1417"/>
          </w:tcPr>
          <w:p>
            <w:r>
              <w:t>0,7130</w:t>
            </w:r>
          </w:p>
        </w:tc>
      </w:tr>
    </w:tbl>
    <w:p>
      <w:pPr>
        <w:jc w:val="center"/>
      </w:pPr>
      <w:r>
        <w:drawing>
          <wp:inline xmlns:a="http://schemas.openxmlformats.org/drawingml/2006/main" xmlns:pic="http://schemas.openxmlformats.org/drawingml/2006/picture">
            <wp:extent cx="5029200" cy="2766060"/>
            <wp:docPr id="24" name="Picture 24"/>
            <wp:cNvGraphicFramePr>
              <a:graphicFrameLocks noChangeAspect="1"/>
            </wp:cNvGraphicFramePr>
            <a:graphic>
              <a:graphicData uri="http://schemas.openxmlformats.org/drawingml/2006/picture">
                <pic:pic>
                  <pic:nvPicPr>
                    <pic:cNvPr id="0" name="ensemble_f1_comparison.png"/>
                    <pic:cNvPicPr/>
                  </pic:nvPicPr>
                  <pic:blipFill>
                    <a:blip r:embed="rId41"/>
                    <a:stretch>
                      <a:fillRect/>
                    </a:stretch>
                  </pic:blipFill>
                  <pic:spPr>
                    <a:xfrm>
                      <a:off x="0" y="0"/>
                      <a:ext cx="5029200" cy="2766060"/>
                    </a:xfrm>
                    <a:prstGeom prst="rect"/>
                  </pic:spPr>
                </pic:pic>
              </a:graphicData>
            </a:graphic>
          </wp:inline>
        </w:drawing>
      </w:r>
    </w:p>
    <w:p>
      <w:r>
        <w:rPr>
          <w:sz w:val="22"/>
        </w:rPr>
        <w:t>O melhor ensemble (Stacking) NÃO superou o melhor modelo-base (LightGBM) de forma relevante (Δ F1 = -0,0107, -1,6%). Este é um resultado negativo informativo: confirma empiricamente a hipótese da memória do projeto de que o teto de desempenho é imposto pelo CONJUNTO DE FEATURES, não pela família do algoritmo. RF e LightGBM, apesar de mecanismos distintos (bagging vs. boosting), convergem para a mesma fronteira de decisão porque ambos exaurem a informação disponível nas 54 features. Ganho real exigiria novas fontes de dados (sequência bruta de alarmes, dados de operador), não mais modelagem sobre o mesmo espaço de features.</w:t>
      </w:r>
    </w:p>
    <w:p>
      <w:pPr>
        <w:jc w:val="center"/>
      </w:pPr>
      <w:r>
        <w:drawing>
          <wp:inline xmlns:a="http://schemas.openxmlformats.org/drawingml/2006/main" xmlns:pic="http://schemas.openxmlformats.org/drawingml/2006/picture">
            <wp:extent cx="4572000" cy="4000500"/>
            <wp:docPr id="23" name="Picture 23"/>
            <wp:cNvGraphicFramePr>
              <a:graphicFrameLocks noChangeAspect="1"/>
            </wp:cNvGraphicFramePr>
            <a:graphic>
              <a:graphicData uri="http://schemas.openxmlformats.org/drawingml/2006/picture">
                <pic:pic>
                  <pic:nvPicPr>
                    <pic:cNvPr id="0" name="ensemble_pr_curves.png"/>
                    <pic:cNvPicPr/>
                  </pic:nvPicPr>
                  <pic:blipFill>
                    <a:blip r:embed="rId40"/>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22" name="Picture 22"/>
            <wp:cNvGraphicFramePr>
              <a:graphicFrameLocks noChangeAspect="1"/>
            </wp:cNvGraphicFramePr>
            <a:graphic>
              <a:graphicData uri="http://schemas.openxmlformats.org/drawingml/2006/picture">
                <pic:pic>
                  <pic:nvPicPr>
                    <pic:cNvPr id="0" name="cost_vs_threshold.png"/>
                    <pic:cNvPicPr/>
                  </pic:nvPicPr>
                  <pic:blipFill>
                    <a:blip r:embed="rId39"/>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0.320</w:t>
            </w:r>
          </w:p>
        </w:tc>
        <w:tc>
          <w:tcPr>
            <w:tcW w:type="dxa" w:w="1215"/>
          </w:tcPr>
          <w:p>
            <w:r>
              <w:t>29,463</w:t>
            </w:r>
          </w:p>
        </w:tc>
        <w:tc>
          <w:tcPr>
            <w:tcW w:type="dxa" w:w="1215"/>
          </w:tcPr>
          <w:p>
            <w:r>
              <w:t>107,762</w:t>
            </w:r>
          </w:p>
        </w:tc>
        <w:tc>
          <w:tcPr>
            <w:tcW w:type="dxa" w:w="1215"/>
          </w:tcPr>
          <w:p>
            <w:r>
              <w:t>5,740</w:t>
            </w:r>
          </w:p>
        </w:tc>
        <w:tc>
          <w:tcPr>
            <w:tcW w:type="dxa" w:w="1215"/>
          </w:tcPr>
          <w:p>
            <w:r>
              <w:t>0.3417</w:t>
            </w:r>
          </w:p>
        </w:tc>
        <w:tc>
          <w:tcPr>
            <w:tcW w:type="dxa" w:w="1215"/>
          </w:tcPr>
          <w:p>
            <w:r>
              <w:t>373.2</w:t>
            </w:r>
          </w:p>
        </w:tc>
      </w:tr>
      <w:tr>
        <w:tc>
          <w:tcPr>
            <w:tcW w:type="dxa" w:w="1215"/>
          </w:tcPr>
          <w:p>
            <w:r>
              <w:t>Custo ótimo</w:t>
            </w:r>
          </w:p>
        </w:tc>
        <w:tc>
          <w:tcPr>
            <w:tcW w:type="dxa" w:w="1215"/>
          </w:tcPr>
          <w:p>
            <w:r>
              <w:t>0.250</w:t>
            </w:r>
          </w:p>
        </w:tc>
        <w:tc>
          <w:tcPr>
            <w:tcW w:type="dxa" w:w="1215"/>
          </w:tcPr>
          <w:p>
            <w:r>
              <w:t>32,454</w:t>
            </w:r>
          </w:p>
        </w:tc>
        <w:tc>
          <w:tcPr>
            <w:tcW w:type="dxa" w:w="1215"/>
          </w:tcPr>
          <w:p>
            <w:r>
              <w:t>253,865</w:t>
            </w:r>
          </w:p>
        </w:tc>
        <w:tc>
          <w:tcPr>
            <w:tcW w:type="dxa" w:w="1215"/>
          </w:tcPr>
          <w:p>
            <w:r>
              <w:t>2,749</w:t>
            </w:r>
          </w:p>
        </w:tc>
        <w:tc>
          <w:tcPr>
            <w:tcW w:type="dxa" w:w="1215"/>
          </w:tcPr>
          <w:p>
            <w:r>
              <w:t>0.2019</w:t>
            </w:r>
          </w:p>
        </w:tc>
        <w:tc>
          <w:tcPr>
            <w:tcW w:type="dxa" w:w="1215"/>
          </w:tcPr>
          <w:p>
            <w:r>
              <w:t>340.5</w:t>
            </w:r>
          </w:p>
        </w:tc>
      </w:tr>
    </w:tbl>
    <w:p>
      <w:r>
        <w:rPr>
          <w:sz w:val="22"/>
        </w:rPr>
        <w:t>Importante: a tabela acima precifica cada LINHA de telemetria como uma parada independente, o que superestima o custo absoluto em ordens de grandeza — um único Don't Go gera dezenas a centenas de linhas na janela pré-evento. A métrica honesta de impacto deduplica por EPISÓDIO (1 episódio de Don't Go = 1 parada física):</w:t>
      </w:r>
    </w:p>
    <w:p>
      <w:r>
        <w:rPr>
          <w:sz w:val="22"/>
        </w:rPr>
        <w:t>Conclusão financeira (por episódio): no teste há 5,652 episódios de Don't Go. O threshold custo-ótimo (~0.25) captura 5,610 de 5,652 paradas reais (~99%) e economiza aproximadamente R$ 6.0 milhões no mês de teste em relação ao threshold otimizado por F1. Em problemas operacionais críticos, capturar a parada física (recall por episódio)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21" name="Picture 21"/>
            <wp:cNvGraphicFramePr>
              <a:graphicFrameLocks noChangeAspect="1"/>
            </wp:cNvGraphicFramePr>
            <a:graphic>
              <a:graphicData uri="http://schemas.openxmlformats.org/drawingml/2006/picture">
                <pic:pic>
                  <pic:nvPicPr>
                    <pic:cNvPr id="0" name="f1_by_fleet.png"/>
                    <pic:cNvPicPr/>
                  </pic:nvPicPr>
                  <pic:blipFill>
                    <a:blip r:embed="rId38"/>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20" name="Picture 20"/>
            <wp:cNvGraphicFramePr>
              <a:graphicFrameLocks noChangeAspect="1"/>
            </wp:cNvGraphicFramePr>
            <a:graphic>
              <a:graphicData uri="http://schemas.openxmlformats.org/drawingml/2006/picture">
                <pic:pic>
                  <pic:nvPicPr>
                    <pic:cNvPr id="0" name="f1_by_equipment_scatter.png"/>
                    <pic:cNvPicPr/>
                  </pic:nvPicPr>
                  <pic:blipFill>
                    <a:blip r:embed="rId37"/>
                    <a:stretch>
                      <a:fillRect/>
                    </a:stretch>
                  </pic:blipFill>
                  <pic:spPr>
                    <a:xfrm>
                      <a:off x="0" y="0"/>
                      <a:ext cx="5029200" cy="2743200"/>
                    </a:xfrm>
                    <a:prstGeom prst="rect"/>
                  </pic:spPr>
                </pic:pic>
              </a:graphicData>
            </a:graphic>
          </wp:inline>
        </w:drawing>
      </w:r>
    </w:p>
    <w:p>
      <w:pPr>
        <w:pStyle w:val="Ttulo2"/>
      </w:pPr>
      <w:r>
        <w:rPr>
          <w:color w:val="00A650"/>
        </w:rPr>
        <w:t>Diagnóstico do Ponto Cego da Escavadeira — Fingerprint por Lift</w:t>
      </w:r>
    </w:p>
    <w:p>
      <w:r>
        <w:rPr>
          <w:sz w:val="22"/>
        </w:rPr>
        <w:t>Por que o modelo é cego à escavadeira? Investigamos a raiz trocando o critério de seleção de alarmes do fingerprint. O fingerprint atual seleciona os 30 alarmes mais FREQUENTES globalmente — mas a escavadeira responde por 91% de todos os eventos de telemetria, então esses alarmes são, em grande parte, ruído rotineiro da própria escavadeira. Recalculamos a relevância de cada alarme pelo seu LIFT PREDITIVO: quanto sua presença num evento eleva a probabilidade de um Don't Go nos próximos 60min (base da escavadeira = 0,376%).</w:t>
      </w:r>
    </w:p>
    <w:p>
      <w:r>
        <w:rPr>
          <w:sz w:val="22"/>
        </w:rPr>
        <w:t>Os 8 alarmes de maior lift preditivo na escavadeira LeTourneau L 1850:</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Id_Alarme</w:t>
            </w:r>
          </w:p>
        </w:tc>
        <w:tc>
          <w:tcPr>
            <w:tcW w:type="dxa" w:w="1417"/>
          </w:tcPr>
          <w:p>
            <w:r>
              <w:rPr>
                <w:b/>
              </w:rPr>
              <w:t>Alarme</w:t>
            </w:r>
          </w:p>
        </w:tc>
        <w:tc>
          <w:tcPr>
            <w:tcW w:type="dxa" w:w="1417"/>
          </w:tcPr>
          <w:p>
            <w:r>
              <w:rPr>
                <w:b/>
              </w:rPr>
              <w:t>Suporte</w:t>
            </w:r>
          </w:p>
        </w:tc>
        <w:tc>
          <w:tcPr>
            <w:tcW w:type="dxa" w:w="1417"/>
          </w:tcPr>
          <w:p>
            <w:r>
              <w:rPr>
                <w:b/>
              </w:rPr>
              <w:t>Taxa pré-DG</w:t>
            </w:r>
          </w:p>
        </w:tc>
        <w:tc>
          <w:tcPr>
            <w:tcW w:type="dxa" w:w="1417"/>
          </w:tcPr>
          <w:p>
            <w:r>
              <w:rPr>
                <w:b/>
              </w:rPr>
              <w:t>Lift</w:t>
            </w:r>
          </w:p>
        </w:tc>
        <w:tc>
          <w:tcPr>
            <w:tcW w:type="dxa" w:w="1417"/>
          </w:tcPr>
          <w:p>
            <w:r>
              <w:rPr>
                <w:b/>
              </w:rPr>
              <w:t>No modelo?</w:t>
            </w:r>
          </w:p>
        </w:tc>
      </w:tr>
      <w:tr>
        <w:tc>
          <w:tcPr>
            <w:tcW w:type="dxa" w:w="1417"/>
          </w:tcPr>
          <w:p>
            <w:r>
              <w:t>1074008237</w:t>
            </w:r>
          </w:p>
        </w:tc>
        <w:tc>
          <w:tcPr>
            <w:tcW w:type="dxa" w:w="1417"/>
          </w:tcPr>
          <w:p>
            <w:r>
              <w:t>Channel Forced (L-1850)</w:t>
            </w:r>
          </w:p>
        </w:tc>
        <w:tc>
          <w:tcPr>
            <w:tcW w:type="dxa" w:w="1417"/>
          </w:tcPr>
          <w:p>
            <w:r>
              <w:t>8.094</w:t>
            </w:r>
          </w:p>
        </w:tc>
        <w:tc>
          <w:tcPr>
            <w:tcW w:type="dxa" w:w="1417"/>
          </w:tcPr>
          <w:p>
            <w:r>
              <w:t>16,7%</w:t>
            </w:r>
          </w:p>
        </w:tc>
        <w:tc>
          <w:tcPr>
            <w:tcW w:type="dxa" w:w="1417"/>
          </w:tcPr>
          <w:p>
            <w:r>
              <w:t>44,4×</w:t>
            </w:r>
          </w:p>
        </w:tc>
        <w:tc>
          <w:tcPr>
            <w:tcW w:type="dxa" w:w="1417"/>
          </w:tcPr>
          <w:p>
            <w:r>
              <w:t>NÃO</w:t>
            </w:r>
          </w:p>
        </w:tc>
      </w:tr>
      <w:tr>
        <w:tc>
          <w:tcPr>
            <w:tcW w:type="dxa" w:w="1417"/>
          </w:tcPr>
          <w:p>
            <w:r>
              <w:t>16830311</w:t>
            </w:r>
          </w:p>
        </w:tc>
        <w:tc>
          <w:tcPr>
            <w:tcW w:type="dxa" w:w="1417"/>
          </w:tcPr>
          <w:p>
            <w:r>
              <w:t>MC - TEMPERATURA DO PTO &gt;90°C</w:t>
            </w:r>
          </w:p>
        </w:tc>
        <w:tc>
          <w:tcPr>
            <w:tcW w:type="dxa" w:w="1417"/>
          </w:tcPr>
          <w:p>
            <w:r>
              <w:t>1.791</w:t>
            </w:r>
          </w:p>
        </w:tc>
        <w:tc>
          <w:tcPr>
            <w:tcW w:type="dxa" w:w="1417"/>
          </w:tcPr>
          <w:p>
            <w:r>
              <w:t>10,8%</w:t>
            </w:r>
          </w:p>
        </w:tc>
        <w:tc>
          <w:tcPr>
            <w:tcW w:type="dxa" w:w="1417"/>
          </w:tcPr>
          <w:p>
            <w:r>
              <w:t>28,7×</w:t>
            </w:r>
          </w:p>
        </w:tc>
        <w:tc>
          <w:tcPr>
            <w:tcW w:type="dxa" w:w="1417"/>
          </w:tcPr>
          <w:p>
            <w:r>
              <w:t>NÃO</w:t>
            </w:r>
          </w:p>
        </w:tc>
      </w:tr>
      <w:tr>
        <w:tc>
          <w:tcPr>
            <w:tcW w:type="dxa" w:w="1417"/>
          </w:tcPr>
          <w:p>
            <w:r>
              <w:t>1074008199</w:t>
            </w:r>
          </w:p>
        </w:tc>
        <w:tc>
          <w:tcPr>
            <w:tcW w:type="dxa" w:w="1417"/>
          </w:tcPr>
          <w:p>
            <w:r>
              <w:t>Hydraulic Reservoir Air Pressure High …</w:t>
            </w:r>
          </w:p>
        </w:tc>
        <w:tc>
          <w:tcPr>
            <w:tcW w:type="dxa" w:w="1417"/>
          </w:tcPr>
          <w:p>
            <w:r>
              <w:t>2.534</w:t>
            </w:r>
          </w:p>
        </w:tc>
        <w:tc>
          <w:tcPr>
            <w:tcW w:type="dxa" w:w="1417"/>
          </w:tcPr>
          <w:p>
            <w:r>
              <w:t>1,5%</w:t>
            </w:r>
          </w:p>
        </w:tc>
        <w:tc>
          <w:tcPr>
            <w:tcW w:type="dxa" w:w="1417"/>
          </w:tcPr>
          <w:p>
            <w:r>
              <w:t>4,1×</w:t>
            </w:r>
          </w:p>
        </w:tc>
        <w:tc>
          <w:tcPr>
            <w:tcW w:type="dxa" w:w="1417"/>
          </w:tcPr>
          <w:p>
            <w:r>
              <w:t>NÃO</w:t>
            </w:r>
          </w:p>
        </w:tc>
      </w:tr>
      <w:tr>
        <w:tc>
          <w:tcPr>
            <w:tcW w:type="dxa" w:w="1417"/>
          </w:tcPr>
          <w:p>
            <w:r>
              <w:t>1241586690</w:t>
            </w:r>
          </w:p>
        </w:tc>
        <w:tc>
          <w:tcPr>
            <w:tcW w:type="dxa" w:w="1417"/>
          </w:tcPr>
          <w:p>
            <w:r>
              <w:t>Fan Drive State - Excessive Engine Air…</w:t>
            </w:r>
          </w:p>
        </w:tc>
        <w:tc>
          <w:tcPr>
            <w:tcW w:type="dxa" w:w="1417"/>
          </w:tcPr>
          <w:p>
            <w:r>
              <w:t>652</w:t>
            </w:r>
          </w:p>
        </w:tc>
        <w:tc>
          <w:tcPr>
            <w:tcW w:type="dxa" w:w="1417"/>
          </w:tcPr>
          <w:p>
            <w:r>
              <w:t>1,5%</w:t>
            </w:r>
          </w:p>
        </w:tc>
        <w:tc>
          <w:tcPr>
            <w:tcW w:type="dxa" w:w="1417"/>
          </w:tcPr>
          <w:p>
            <w:r>
              <w:t>4,1×</w:t>
            </w:r>
          </w:p>
        </w:tc>
        <w:tc>
          <w:tcPr>
            <w:tcW w:type="dxa" w:w="1417"/>
          </w:tcPr>
          <w:p>
            <w:r>
              <w:t>NÃO</w:t>
            </w:r>
          </w:p>
        </w:tc>
      </w:tr>
      <w:tr>
        <w:tc>
          <w:tcPr>
            <w:tcW w:type="dxa" w:w="1417"/>
          </w:tcPr>
          <w:p>
            <w:r>
              <w:t>1074008236</w:t>
            </w:r>
          </w:p>
        </w:tc>
        <w:tc>
          <w:tcPr>
            <w:tcW w:type="dxa" w:w="1417"/>
          </w:tcPr>
          <w:p>
            <w:r>
              <w:t>Bucket Critical Overload: Dump Some Lo…</w:t>
            </w:r>
          </w:p>
        </w:tc>
        <w:tc>
          <w:tcPr>
            <w:tcW w:type="dxa" w:w="1417"/>
          </w:tcPr>
          <w:p>
            <w:r>
              <w:t>1.864</w:t>
            </w:r>
          </w:p>
        </w:tc>
        <w:tc>
          <w:tcPr>
            <w:tcW w:type="dxa" w:w="1417"/>
          </w:tcPr>
          <w:p>
            <w:r>
              <w:t>1,4%</w:t>
            </w:r>
          </w:p>
        </w:tc>
        <w:tc>
          <w:tcPr>
            <w:tcW w:type="dxa" w:w="1417"/>
          </w:tcPr>
          <w:p>
            <w:r>
              <w:t>3,7×</w:t>
            </w:r>
          </w:p>
        </w:tc>
        <w:tc>
          <w:tcPr>
            <w:tcW w:type="dxa" w:w="1417"/>
          </w:tcPr>
          <w:p>
            <w:r>
              <w:t>NÃO</w:t>
            </w:r>
          </w:p>
        </w:tc>
      </w:tr>
      <w:tr>
        <w:tc>
          <w:tcPr>
            <w:tcW w:type="dxa" w:w="1417"/>
          </w:tcPr>
          <w:p>
            <w:r>
              <w:t>1074008005</w:t>
            </w:r>
          </w:p>
        </w:tc>
        <w:tc>
          <w:tcPr>
            <w:tcW w:type="dxa" w:w="1417"/>
          </w:tcPr>
          <w:p>
            <w:r>
              <w:t>Bucket Critical Overload (L-1850)</w:t>
            </w:r>
          </w:p>
        </w:tc>
        <w:tc>
          <w:tcPr>
            <w:tcW w:type="dxa" w:w="1417"/>
          </w:tcPr>
          <w:p>
            <w:r>
              <w:t>1.904</w:t>
            </w:r>
          </w:p>
        </w:tc>
        <w:tc>
          <w:tcPr>
            <w:tcW w:type="dxa" w:w="1417"/>
          </w:tcPr>
          <w:p>
            <w:r>
              <w:t>1,4%</w:t>
            </w:r>
          </w:p>
        </w:tc>
        <w:tc>
          <w:tcPr>
            <w:tcW w:type="dxa" w:w="1417"/>
          </w:tcPr>
          <w:p>
            <w:r>
              <w:t>3,6×</w:t>
            </w:r>
          </w:p>
        </w:tc>
        <w:tc>
          <w:tcPr>
            <w:tcW w:type="dxa" w:w="1417"/>
          </w:tcPr>
          <w:p>
            <w:r>
              <w:t>NÃO</w:t>
            </w:r>
          </w:p>
        </w:tc>
      </w:tr>
      <w:tr>
        <w:tc>
          <w:tcPr>
            <w:tcW w:type="dxa" w:w="1417"/>
          </w:tcPr>
          <w:p>
            <w:r>
              <w:t>1074008006</w:t>
            </w:r>
          </w:p>
        </w:tc>
        <w:tc>
          <w:tcPr>
            <w:tcW w:type="dxa" w:w="1417"/>
          </w:tcPr>
          <w:p>
            <w:r>
              <w:t>Bucket Overload (L-1850)</w:t>
            </w:r>
          </w:p>
        </w:tc>
        <w:tc>
          <w:tcPr>
            <w:tcW w:type="dxa" w:w="1417"/>
          </w:tcPr>
          <w:p>
            <w:r>
              <w:t>13.797</w:t>
            </w:r>
          </w:p>
        </w:tc>
        <w:tc>
          <w:tcPr>
            <w:tcW w:type="dxa" w:w="1417"/>
          </w:tcPr>
          <w:p>
            <w:r>
              <w:t>1,3%</w:t>
            </w:r>
          </w:p>
        </w:tc>
        <w:tc>
          <w:tcPr>
            <w:tcW w:type="dxa" w:w="1417"/>
          </w:tcPr>
          <w:p>
            <w:r>
              <w:t>3,5×</w:t>
            </w:r>
          </w:p>
        </w:tc>
        <w:tc>
          <w:tcPr>
            <w:tcW w:type="dxa" w:w="1417"/>
          </w:tcPr>
          <w:p>
            <w:r>
              <w:t>NÃO</w:t>
            </w:r>
          </w:p>
        </w:tc>
      </w:tr>
      <w:tr>
        <w:tc>
          <w:tcPr>
            <w:tcW w:type="dxa" w:w="1417"/>
          </w:tcPr>
          <w:p>
            <w:r>
              <w:t>1074008250</w:t>
            </w:r>
          </w:p>
        </w:tc>
        <w:tc>
          <w:tcPr>
            <w:tcW w:type="dxa" w:w="1417"/>
          </w:tcPr>
          <w:p>
            <w:r>
              <w:t>Red Alarm(s) Active (L-1850)</w:t>
            </w:r>
          </w:p>
        </w:tc>
        <w:tc>
          <w:tcPr>
            <w:tcW w:type="dxa" w:w="1417"/>
          </w:tcPr>
          <w:p>
            <w:r>
              <w:t>931</w:t>
            </w:r>
          </w:p>
        </w:tc>
        <w:tc>
          <w:tcPr>
            <w:tcW w:type="dxa" w:w="1417"/>
          </w:tcPr>
          <w:p>
            <w:r>
              <w:t>1,2%</w:t>
            </w:r>
          </w:p>
        </w:tc>
        <w:tc>
          <w:tcPr>
            <w:tcW w:type="dxa" w:w="1417"/>
          </w:tcPr>
          <w:p>
            <w:r>
              <w:t>3,1×</w:t>
            </w:r>
          </w:p>
        </w:tc>
        <w:tc>
          <w:tcPr>
            <w:tcW w:type="dxa" w:w="1417"/>
          </w:tcPr>
          <w:p>
            <w:r>
              <w:t>NÃO</w:t>
            </w:r>
          </w:p>
        </w:tc>
      </w:tr>
    </w:tbl>
    <w:p>
      <w:pPr>
        <w:jc w:val="center"/>
      </w:pPr>
      <w:r>
        <w:drawing>
          <wp:inline xmlns:a="http://schemas.openxmlformats.org/drawingml/2006/main" xmlns:pic="http://schemas.openxmlformats.org/drawingml/2006/picture">
            <wp:extent cx="5486400" cy="3840480"/>
            <wp:docPr id="19" name="Picture 19"/>
            <wp:cNvGraphicFramePr>
              <a:graphicFrameLocks noChangeAspect="1"/>
            </wp:cNvGraphicFramePr>
            <a:graphic>
              <a:graphicData uri="http://schemas.openxmlformats.org/drawingml/2006/picture">
                <pic:pic>
                  <pic:nvPicPr>
                    <pic:cNvPr id="0" name="escavadeira_fingerprint_lift.png"/>
                    <pic:cNvPicPr/>
                  </pic:nvPicPr>
                  <pic:blipFill>
                    <a:blip r:embed="rId36"/>
                    <a:stretch>
                      <a:fillRect/>
                    </a:stretch>
                  </pic:blipFill>
                  <pic:spPr>
                    <a:xfrm>
                      <a:off x="0" y="0"/>
                      <a:ext cx="5486400" cy="3840480"/>
                    </a:xfrm>
                    <a:prstGeom prst="rect"/>
                  </pic:spPr>
                </pic:pic>
              </a:graphicData>
            </a:graphic>
          </wp:inline>
        </w:drawing>
      </w:r>
    </w:p>
    <w:p>
      <w:r>
        <w:rPr>
          <w:sz w:val="22"/>
        </w:rPr>
        <w:t>Achado central: os 8 alarmes de maior lift da escavadeira estão TODOS ausentes do fingerprint atual. Os dois mais fortes são mecanicamente interpretáveis e altamente preditivos: 'Channel Forced' (lift 44,4×, taxa pré-DG 16,7%) — uma falha de canal de controle — e 'MC - Temperatura do PTO &gt;90°C' (lift 28,7×) — superaquecimento da tomada de força. Ambos são raros (suporte de poucos milhares de eventos), e por isso o critério de FREQUÊNCIA os descarta, sepultando justamente o sinal.</w:t>
      </w:r>
    </w:p>
    <w:p>
      <w:pPr>
        <w:jc w:val="center"/>
      </w:pPr>
      <w:r>
        <w:drawing>
          <wp:inline xmlns:a="http://schemas.openxmlformats.org/drawingml/2006/main" xmlns:pic="http://schemas.openxmlformats.org/drawingml/2006/picture">
            <wp:extent cx="5943600" cy="2514600"/>
            <wp:docPr id="18" name="Picture 18"/>
            <wp:cNvGraphicFramePr>
              <a:graphicFrameLocks noChangeAspect="1"/>
            </wp:cNvGraphicFramePr>
            <a:graphic>
              <a:graphicData uri="http://schemas.openxmlformats.org/drawingml/2006/picture">
                <pic:pic>
                  <pic:nvPicPr>
                    <pic:cNvPr id="0" name="escavadeira_vs_caminhao_fingerprint.png"/>
                    <pic:cNvPicPr/>
                  </pic:nvPicPr>
                  <pic:blipFill>
                    <a:blip r:embed="rId35"/>
                    <a:stretch>
                      <a:fillRect/>
                    </a:stretch>
                  </pic:blipFill>
                  <pic:spPr>
                    <a:xfrm>
                      <a:off x="0" y="0"/>
                      <a:ext cx="5943600" cy="2514600"/>
                    </a:xfrm>
                    <a:prstGeom prst="rect"/>
                  </pic:spPr>
                </pic:pic>
              </a:graphicData>
            </a:graphic>
          </wp:inline>
        </w:drawing>
      </w:r>
    </w:p>
    <w:p>
      <w:r>
        <w:rPr>
          <w:sz w:val="22"/>
        </w:rPr>
        <w:t>Diagnóstico refinado (corrige a leitura anterior): NÃO é verdade que a escavadeira não tenha sinal — ela tem alarmes de lift até 44× (vs. máximo de 8× nos caminhões). O que ocorre é que (1) esses sinais fortes são raros e (2) o critério de seleção por frequência do fingerprint atual os exclui. A cobertura é quase idêntica entre os dois critérios (97,5% vs 97,7%) porque a maioria dos eventos pré-DG da escavadeira só traz alarmes rotineiros — mas o subconjunto que dispara 'Channel Forced' ou 'PTO &gt;90°C' é altamente recuperável e hoje está 100% perdido. Isto refina o experimento negativo do Sprint 5: o modelo dedicado falhou não por ausência de sinal, mas por reutilizar o mesmo feature set baseado em frequência que enterra o sinal. A correção é concreta: adicionar esses alarmes de alto lift como features dedicadas da escavadeira.</w:t>
      </w:r>
    </w:p>
    <w:p>
      <w:pPr>
        <w:pStyle w:val="Ttulo2"/>
      </w:pPr>
      <w:r>
        <w:rPr>
          <w:color w:val="00A650"/>
        </w:rPr>
        <w:t>PoC de Modelo Sequencial (GRU) para a Escavadeira</w:t>
      </w:r>
    </w:p>
    <w:p>
      <w:r>
        <w:rPr>
          <w:sz w:val="22"/>
        </w:rPr>
        <w:t>O Sprint 11 mostrou que o sinal existe na escavadeira, mas é raro e concentrado em poucos alarmes. Como teste final dessa fronteira, avaliamos se um modelo SEQUENCIAL — que enxerga a ordem bruta dos alarmes em vez da agregação binária — recupera esse sinal. Treinamos uma rede neural recorrente (Embedding de 300 alarmes → GRU de 48 unidades → classificador), com cada decisão observando a sequência dos 32 alarmes anteriores do equipamento. Split temporal idêntico ao do projeto (treino jan-abr / val Mai / teste Jun).</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GRU sequencial</w:t>
            </w:r>
          </w:p>
        </w:tc>
        <w:tc>
          <w:tcPr>
            <w:tcW w:type="dxa" w:w="2126"/>
          </w:tcPr>
          <w:p>
            <w:r>
              <w:rPr>
                <w:b/>
              </w:rPr>
              <w:t>LightGBM geral</w:t>
            </w:r>
          </w:p>
        </w:tc>
        <w:tc>
          <w:tcPr>
            <w:tcW w:type="dxa" w:w="2126"/>
          </w:tcPr>
          <w:p>
            <w:r>
              <w:rPr>
                <w:b/>
              </w:rPr>
              <w:t>Interpretação</w:t>
            </w:r>
          </w:p>
        </w:tc>
      </w:tr>
      <w:tr>
        <w:tc>
          <w:tcPr>
            <w:tcW w:type="dxa" w:w="2126"/>
          </w:tcPr>
          <w:p>
            <w:r>
              <w:t>Recall</w:t>
            </w:r>
          </w:p>
        </w:tc>
        <w:tc>
          <w:tcPr>
            <w:tcW w:type="dxa" w:w="2126"/>
          </w:tcPr>
          <w:p>
            <w:r>
              <w:t>0,685</w:t>
            </w:r>
          </w:p>
        </w:tc>
        <w:tc>
          <w:tcPr>
            <w:tcW w:type="dxa" w:w="2126"/>
          </w:tcPr>
          <w:p>
            <w:r>
              <w:t>0,136</w:t>
            </w:r>
          </w:p>
        </w:tc>
        <w:tc>
          <w:tcPr>
            <w:tcW w:type="dxa" w:w="2126"/>
          </w:tcPr>
          <w:p>
            <w:r>
              <w:t>enganoso (ver precisão)</w:t>
            </w:r>
          </w:p>
        </w:tc>
      </w:tr>
      <w:tr>
        <w:tc>
          <w:tcPr>
            <w:tcW w:type="dxa" w:w="2126"/>
          </w:tcPr>
          <w:p>
            <w:r>
              <w:t>Precision</w:t>
            </w:r>
          </w:p>
        </w:tc>
        <w:tc>
          <w:tcPr>
            <w:tcW w:type="dxa" w:w="2126"/>
          </w:tcPr>
          <w:p>
            <w:r>
              <w:t>0,0000</w:t>
            </w:r>
          </w:p>
        </w:tc>
        <w:tc>
          <w:tcPr>
            <w:tcW w:type="dxa" w:w="2126"/>
          </w:tcPr>
          <w:p>
            <w:r>
              <w:t>0,0081</w:t>
            </w:r>
          </w:p>
        </w:tc>
        <w:tc>
          <w:tcPr>
            <w:tcW w:type="dxa" w:w="2126"/>
          </w:tcPr>
          <w:p>
            <w:r>
              <w:t>GRU ≈ 0</w:t>
            </w:r>
          </w:p>
        </w:tc>
      </w:tr>
      <w:tr>
        <w:tc>
          <w:tcPr>
            <w:tcW w:type="dxa" w:w="2126"/>
          </w:tcPr>
          <w:p>
            <w:r>
              <w:t>F1</w:t>
            </w:r>
          </w:p>
        </w:tc>
        <w:tc>
          <w:tcPr>
            <w:tcW w:type="dxa" w:w="2126"/>
          </w:tcPr>
          <w:p>
            <w:r>
              <w:t>0,0000</w:t>
            </w:r>
          </w:p>
        </w:tc>
        <w:tc>
          <w:tcPr>
            <w:tcW w:type="dxa" w:w="2126"/>
          </w:tcPr>
          <w:p>
            <w:r>
              <w:t>0,0153</w:t>
            </w:r>
          </w:p>
        </w:tc>
        <w:tc>
          <w:tcPr>
            <w:tcW w:type="dxa" w:w="2126"/>
          </w:tcPr>
          <w:p>
            <w:r>
              <w:t>GRU pior</w:t>
            </w:r>
          </w:p>
        </w:tc>
      </w:tr>
      <w:tr>
        <w:tc>
          <w:tcPr>
            <w:tcW w:type="dxa" w:w="2126"/>
          </w:tcPr>
          <w:p>
            <w:r>
              <w:t>PR-AUC</w:t>
            </w:r>
          </w:p>
        </w:tc>
        <w:tc>
          <w:tcPr>
            <w:tcW w:type="dxa" w:w="2126"/>
          </w:tcPr>
          <w:p>
            <w:r>
              <w:t>0,0002</w:t>
            </w:r>
          </w:p>
        </w:tc>
        <w:tc>
          <w:tcPr>
            <w:tcW w:type="dxa" w:w="2126"/>
          </w:tcPr>
          <w:p>
            <w:r>
              <w:t>0,0102</w:t>
            </w:r>
          </w:p>
        </w:tc>
        <w:tc>
          <w:tcPr>
            <w:tcW w:type="dxa" w:w="2126"/>
          </w:tcPr>
          <w:p>
            <w:r>
              <w:t>DECISIVA → GRU pior</w:t>
            </w:r>
          </w:p>
        </w:tc>
      </w:tr>
      <w:tr>
        <w:tc>
          <w:tcPr>
            <w:tcW w:type="dxa" w:w="2126"/>
          </w:tcPr>
          <w:p>
            <w:r>
              <w:t>ROC-AUC</w:t>
            </w:r>
          </w:p>
        </w:tc>
        <w:tc>
          <w:tcPr>
            <w:tcW w:type="dxa" w:w="2126"/>
          </w:tcPr>
          <w:p>
            <w:r>
              <w:t>0,429</w:t>
            </w:r>
          </w:p>
        </w:tc>
        <w:tc>
          <w:tcPr>
            <w:tcW w:type="dxa" w:w="2126"/>
          </w:tcPr>
          <w:p>
            <w:r>
              <w:t>0,790</w:t>
            </w:r>
          </w:p>
        </w:tc>
        <w:tc>
          <w:tcPr>
            <w:tcW w:type="dxa" w:w="2126"/>
          </w:tcPr>
          <w:p>
            <w:r>
              <w:t>GRU &lt; 0,5 (invertido)</w:t>
            </w:r>
          </w:p>
        </w:tc>
      </w:tr>
    </w:tbl>
    <w:p>
      <w:pPr>
        <w:jc w:val="center"/>
      </w:pPr>
      <w:r>
        <w:drawing>
          <wp:inline xmlns:a="http://schemas.openxmlformats.org/drawingml/2006/main" xmlns:pic="http://schemas.openxmlformats.org/drawingml/2006/picture">
            <wp:extent cx="5943600" cy="2514600"/>
            <wp:docPr id="17" name="Picture 17"/>
            <wp:cNvGraphicFramePr>
              <a:graphicFrameLocks noChangeAspect="1"/>
            </wp:cNvGraphicFramePr>
            <a:graphic>
              <a:graphicData uri="http://schemas.openxmlformats.org/drawingml/2006/picture">
                <pic:pic>
                  <pic:nvPicPr>
                    <pic:cNvPr id="0" name="escavadeira_gru_vs_baseline.png"/>
                    <pic:cNvPicPr/>
                  </pic:nvPicPr>
                  <pic:blipFill>
                    <a:blip r:embed="rId34"/>
                    <a:stretch>
                      <a:fillRect/>
                    </a:stretch>
                  </pic:blipFill>
                  <pic:spPr>
                    <a:xfrm>
                      <a:off x="0" y="0"/>
                      <a:ext cx="5943600" cy="2514600"/>
                    </a:xfrm>
                    <a:prstGeom prst="rect"/>
                  </pic:spPr>
                </pic:pic>
              </a:graphicData>
            </a:graphic>
          </wp:inline>
        </w:drawing>
      </w:r>
    </w:p>
    <w:p>
      <w:r>
        <w:rPr>
          <w:sz w:val="22"/>
        </w:rPr>
        <w:t>Resultado negativo inequívoco. O Recall aparentemente alto do GRU (0,685) é um artefato: para atingi-lo, o modelo classifica como positivo 6.639.489 dos ~7,35M eventos de teste (precisão ≈ 0). As métricas decisivas sob desbalanceamento extremo desmentem o ganho: PR-AUC de apenas 0,0002 (vs. 0,0102 do baseline) e ROC-AUC de 0,429 — abaixo de 0,5, ou seja, ranking pior que o acaso. Durante o treino, a ROC-AUC de validação (Mai) permaneceu travada em ~0,44 mesmo com a perda de treino caindo: o modelo aprendeu padrões de Jan-Abr que não transferem.</w:t>
      </w:r>
    </w:p>
    <w:p>
      <w:r>
        <w:rPr>
          <w:sz w:val="22"/>
        </w:rPr>
        <w:t>Conclusão triangulada: três experimentos independentes — modelo dedicado (Sprint 5), detecção de drift (Sprint 8) e agora o modelo sequencial (Sprint 12) — convergem para o mesmo diagnóstico. O Don't Go da escavadeira em Junho (apenas 162 eventos, contra ~108 mil no treino) não é aprendível a partir do histórico Jan-Abr por NENHUMA arquitetura, porque a distribuição mudou estruturalmente. O gargalo não é a capacidade do modelo nem a representação das features — é a não-estacionariedade dos dados. Isso reorienta a solução do território de modelagem para o operacional: (1) investigar o que mudou fisicamente na frota de escavadeiras entre Mai e Jun, e (2) adotar re-treinamento adaptativo disparado pelo detector de drift do Sprint 8, em vez de buscar um modelo estático mais sofisticado.</w:t>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16" name="Picture 16"/>
            <wp:cNvGraphicFramePr>
              <a:graphicFrameLocks noChangeAspect="1"/>
            </wp:cNvGraphicFramePr>
            <a:graphic>
              <a:graphicData uri="http://schemas.openxmlformats.org/drawingml/2006/picture">
                <pic:pic>
                  <pic:nvPicPr>
                    <pic:cNvPr id="0" name="horizon_degradation.png"/>
                    <pic:cNvPicPr/>
                  </pic:nvPicPr>
                  <pic:blipFill>
                    <a:blip r:embed="rId33"/>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15" name="Picture 15"/>
            <wp:cNvGraphicFramePr>
              <a:graphicFrameLocks noChangeAspect="1"/>
            </wp:cNvGraphicFramePr>
            <a:graphic>
              <a:graphicData uri="http://schemas.openxmlformats.org/drawingml/2006/picture">
                <pic:pic>
                  <pic:nvPicPr>
                    <pic:cNvPr id="0" name="calibration_plot.png"/>
                    <pic:cNvPicPr/>
                  </pic:nvPicPr>
                  <pic:blipFill>
                    <a:blip r:embed="rId32"/>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(fixados na validação de Mai/2025): F1-ótimo (~0.32) e custo-ótimo (~0.25).</w:t>
      </w:r>
    </w:p>
    <w:p>
      <w:pPr>
        <w:jc w:val="center"/>
      </w:pPr>
      <w:r>
        <w:drawing>
          <wp:inline xmlns:a="http://schemas.openxmlformats.org/drawingml/2006/main" xmlns:pic="http://schemas.openxmlformats.org/drawingml/2006/picture">
            <wp:extent cx="5029200" cy="3017520"/>
            <wp:docPr id="14" name="Picture 14"/>
            <wp:cNvGraphicFramePr>
              <a:graphicFrameLocks noChangeAspect="1"/>
            </wp:cNvGraphicFramePr>
            <a:graphic>
              <a:graphicData uri="http://schemas.openxmlformats.org/drawingml/2006/picture">
                <pic:pic>
                  <pic:nvPicPr>
                    <pic:cNvPr id="0" name="threshold_curves.png"/>
                    <pic:cNvPicPr/>
                  </pic:nvPicPr>
                  <pic:blipFill>
                    <a:blip r:embed="rId31"/>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0.02025</w:t>
            </w:r>
          </w:p>
        </w:tc>
        <w:tc>
          <w:tcPr>
            <w:tcW w:type="dxa" w:w="2126"/>
          </w:tcPr>
          <w:p>
            <w:r>
              <w:t>0.00221</w:t>
            </w:r>
          </w:p>
        </w:tc>
        <w:tc>
          <w:tcPr>
            <w:tcW w:type="dxa" w:w="2126"/>
          </w:tcPr>
          <w:p>
            <w:r>
              <w:t>+89.1%</w:t>
            </w:r>
          </w:p>
        </w:tc>
      </w:tr>
      <w:tr>
        <w:tc>
          <w:tcPr>
            <w:tcW w:type="dxa" w:w="2126"/>
          </w:tcPr>
          <w:p>
            <w:r>
              <w:t>LogLoss</w:t>
            </w:r>
          </w:p>
        </w:tc>
        <w:tc>
          <w:tcPr>
            <w:tcW w:type="dxa" w:w="2126"/>
          </w:tcPr>
          <w:p>
            <w:r>
              <w:t>0.07039</w:t>
            </w:r>
          </w:p>
        </w:tc>
        <w:tc>
          <w:tcPr>
            <w:tcW w:type="dxa" w:w="2126"/>
          </w:tcPr>
          <w:p>
            <w:r>
              <w:t>0.01168</w:t>
            </w:r>
          </w:p>
        </w:tc>
        <w:tc>
          <w:tcPr>
            <w:tcW w:type="dxa" w:w="2126"/>
          </w:tcPr>
          <w:p>
            <w:r>
              <w:t>—</w:t>
            </w:r>
          </w:p>
        </w:tc>
      </w:tr>
      <w:tr>
        <w:tc>
          <w:tcPr>
            <w:tcW w:type="dxa" w:w="2126"/>
          </w:tcPr>
          <w:p>
            <w:r>
              <w:t>ROC-AUC</w:t>
            </w:r>
          </w:p>
        </w:tc>
        <w:tc>
          <w:tcPr>
            <w:tcW w:type="dxa" w:w="2126"/>
          </w:tcPr>
          <w:p>
            <w:r>
              <w:t>0.9923</w:t>
            </w:r>
          </w:p>
        </w:tc>
        <w:tc>
          <w:tcPr>
            <w:tcW w:type="dxa" w:w="2126"/>
          </w:tcPr>
          <w:p>
            <w:r>
              <w:t>0.9917</w:t>
            </w:r>
          </w:p>
        </w:tc>
        <w:tc>
          <w:tcPr>
            <w:tcW w:type="dxa" w:w="2126"/>
          </w:tcPr>
          <w:p>
            <w:r>
              <w:t>−0,06%</w:t>
            </w:r>
          </w:p>
        </w:tc>
      </w:tr>
      <w:tr>
        <w:tc>
          <w:tcPr>
            <w:tcW w:type="dxa" w:w="2126"/>
          </w:tcPr>
          <w:p>
            <w:r>
              <w:t>PR-AUC</w:t>
            </w:r>
          </w:p>
        </w:tc>
        <w:tc>
          <w:tcPr>
            <w:tcW w:type="dxa" w:w="2126"/>
          </w:tcPr>
          <w:p>
            <w:r>
              <w:t>0.6739</w:t>
            </w:r>
          </w:p>
        </w:tc>
        <w:tc>
          <w:tcPr>
            <w:tcW w:type="dxa" w:w="2126"/>
          </w:tcPr>
          <w:p>
            <w:r>
              <w:t>0.6559</w:t>
            </w:r>
          </w:p>
        </w:tc>
        <w:tc>
          <w:tcPr>
            <w:tcW w:type="dxa" w:w="2126"/>
          </w:tcPr>
          <w:p>
            <w:r>
              <w:t>−2,7%</w:t>
            </w:r>
          </w:p>
        </w:tc>
      </w:tr>
    </w:tbl>
    <w:p>
      <w:r>
        <w:rPr>
          <w:sz w:val="22"/>
        </w:rPr>
        <w:t>O Brier Score caiu 89% sem perda relevante de ROC-AUC. O modelo calibrado passou a ser 2.0×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13" name="Picture 13"/>
            <wp:cNvGraphicFramePr>
              <a:graphicFrameLocks noChangeAspect="1"/>
            </wp:cNvGraphicFramePr>
            <a:graphic>
              <a:graphicData uri="http://schemas.openxmlformats.org/drawingml/2006/picture">
                <pic:pic>
                  <pic:nvPicPr>
                    <pic:cNvPr id="0" name="isotonic_calibration.png"/>
                    <pic:cNvPicPr/>
                  </pic:nvPicPr>
                  <pic:blipFill>
                    <a:blip r:embed="rId30"/>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12" name="Picture 12"/>
            <wp:cNvGraphicFramePr>
              <a:graphicFrameLocks noChangeAspect="1"/>
            </wp:cNvGraphicFramePr>
            <a:graphic>
              <a:graphicData uri="http://schemas.openxmlformats.org/drawingml/2006/picture">
                <pic:pic>
                  <pic:nvPicPr>
                    <pic:cNvPr id="0" name="isotonic_mapping.png"/>
                    <pic:cNvPicPr/>
                  </pic:nvPicPr>
                  <pic:blipFill>
                    <a:blip r:embed="rId29"/>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Detecção Automática de Drift (operacionalização)</w:t>
      </w:r>
    </w:p>
    <w:p>
      <w:r>
        <w:rPr>
          <w:sz w:val="22"/>
        </w:rPr>
        <w:t>O experimento Sprint 5 demonstrou empiricamente que a distribuição dos dados varia substancialmente entre meses (variação de 600× na taxa DG da escavadeira). Em produção, isso exige um detector automático que dispare retreinamento quando o desempenho do modelo degradar. Implementamos dois detectores online clássicos avaliados sobre as séries mensais Jan-Jun/2025:</w:t>
      </w:r>
    </w:p>
    <w:p>
      <w:pPr>
        <w:pStyle w:val="Commarcadores"/>
      </w:pPr>
      <w:r>
        <w:rPr>
          <w:sz w:val="22"/>
        </w:rPr>
        <w:t>Page-Hinkley sobre a taxa observada de Don't Go (KPI primário, requer label).</w:t>
      </w:r>
    </w:p>
    <w:p>
      <w:pPr>
        <w:pStyle w:val="Commarcadores"/>
      </w:pPr>
      <w:r>
        <w:rPr>
          <w:sz w:val="22"/>
        </w:rPr>
        <w:t>Page-Hinkley sobre o score médio do LightGBM (proxy, disponível em tempo real).</w:t>
      </w:r>
    </w:p>
    <w:p>
      <w:pPr>
        <w:pStyle w:val="Commarcadores"/>
      </w:pPr>
      <w:r>
        <w:rPr>
          <w:sz w:val="22"/>
        </w:rPr>
        <w:t>Kolmogorov-Smirnov 2-sample entre distribuições de score de meses consecutivos (detecta mudança de forma, não só de média).</w:t>
      </w:r>
    </w:p>
    <w:p>
      <w:r>
        <w:rPr>
          <w:sz w:val="22"/>
        </w:rPr>
        <w:t>Resultado por frota — meses em que cada detector dispararia alerta: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Frota</w:t>
            </w:r>
          </w:p>
        </w:tc>
        <w:tc>
          <w:tcPr>
            <w:tcW w:type="dxa" w:w="2835"/>
          </w:tcPr>
          <w:p>
            <w:r>
              <w:rPr>
                <w:b/>
              </w:rPr>
              <w:t>Drift na Taxa DG (label)</w:t>
            </w:r>
          </w:p>
        </w:tc>
        <w:tc>
          <w:tcPr>
            <w:tcW w:type="dxa" w:w="2835"/>
          </w:tcPr>
          <w:p>
            <w:r>
              <w:rPr>
                <w:b/>
              </w:rPr>
              <w:t>Drift no Score Médio</w:t>
            </w:r>
          </w:p>
        </w:tc>
      </w:tr>
      <w:tr>
        <w:tc>
          <w:tcPr>
            <w:tcW w:type="dxa" w:w="2835"/>
          </w:tcPr>
          <w:p>
            <w:r>
              <w:t>793-D 2S</w:t>
            </w:r>
          </w:p>
        </w:tc>
        <w:tc>
          <w:tcPr>
            <w:tcW w:type="dxa" w:w="2835"/>
          </w:tcPr>
          <w:p>
            <w:r>
              <w:t>Fev, Mar, Abr, Mai</w:t>
            </w:r>
          </w:p>
        </w:tc>
        <w:tc>
          <w:tcPr>
            <w:tcW w:type="dxa" w:w="2835"/>
          </w:tcPr>
          <w:p>
            <w:r>
              <w:t>Fev, Mar, Abr, Mai, Jun</w:t>
            </w:r>
          </w:p>
        </w:tc>
      </w:tr>
      <w:tr>
        <w:tc>
          <w:tcPr>
            <w:tcW w:type="dxa" w:w="2835"/>
          </w:tcPr>
          <w:p>
            <w:r>
              <w:t>793-D 3S</w:t>
            </w:r>
          </w:p>
        </w:tc>
        <w:tc>
          <w:tcPr>
            <w:tcW w:type="dxa" w:w="2835"/>
          </w:tcPr>
          <w:p>
            <w:r>
              <w:t>—</w:t>
            </w:r>
          </w:p>
        </w:tc>
        <w:tc>
          <w:tcPr>
            <w:tcW w:type="dxa" w:w="2835"/>
          </w:tcPr>
          <w:p>
            <w:r>
              <w:t>Fev, Jun</w:t>
            </w:r>
          </w:p>
        </w:tc>
      </w:tr>
      <w:tr>
        <w:tc>
          <w:tcPr>
            <w:tcW w:type="dxa" w:w="2835"/>
          </w:tcPr>
          <w:p>
            <w:r>
              <w:t>793-D 4S</w:t>
            </w:r>
          </w:p>
        </w:tc>
        <w:tc>
          <w:tcPr>
            <w:tcW w:type="dxa" w:w="2835"/>
          </w:tcPr>
          <w:p>
            <w:r>
              <w:t>—</w:t>
            </w:r>
          </w:p>
        </w:tc>
        <w:tc>
          <w:tcPr>
            <w:tcW w:type="dxa" w:w="2835"/>
          </w:tcPr>
          <w:p>
            <w:r>
              <w:t>—</w:t>
            </w:r>
          </w:p>
        </w:tc>
      </w:tr>
      <w:tr>
        <w:tc>
          <w:tcPr>
            <w:tcW w:type="dxa" w:w="2835"/>
          </w:tcPr>
          <w:p>
            <w:r>
              <w:t>793-D 5S</w:t>
            </w:r>
          </w:p>
        </w:tc>
        <w:tc>
          <w:tcPr>
            <w:tcW w:type="dxa" w:w="2835"/>
          </w:tcPr>
          <w:p>
            <w:r>
              <w:t>Fev, Mar</w:t>
            </w:r>
          </w:p>
        </w:tc>
        <w:tc>
          <w:tcPr>
            <w:tcW w:type="dxa" w:w="2835"/>
          </w:tcPr>
          <w:p>
            <w:r>
              <w:t>—</w:t>
            </w:r>
          </w:p>
        </w:tc>
      </w:tr>
      <w:tr>
        <w:tc>
          <w:tcPr>
            <w:tcW w:type="dxa" w:w="2835"/>
          </w:tcPr>
          <w:p>
            <w:r>
              <w:t>LeTourneau L 1850</w:t>
            </w:r>
          </w:p>
        </w:tc>
        <w:tc>
          <w:tcPr>
            <w:tcW w:type="dxa" w:w="2835"/>
          </w:tcPr>
          <w:p>
            <w:r>
              <w:t>—</w:t>
            </w:r>
          </w:p>
        </w:tc>
        <w:tc>
          <w:tcPr>
            <w:tcW w:type="dxa" w:w="2835"/>
          </w:tcPr>
          <w:p>
            <w:r>
              <w:t>—</w:t>
            </w:r>
          </w:p>
        </w:tc>
      </w:tr>
    </w:tbl>
    <w:p>
      <w:pPr>
        <w:jc w:val="center"/>
      </w:pPr>
      <w:r>
        <w:drawing>
          <wp:inline xmlns:a="http://schemas.openxmlformats.org/drawingml/2006/main" xmlns:pic="http://schemas.openxmlformats.org/drawingml/2006/picture">
            <wp:extent cx="5943600" cy="6368143"/>
            <wp:docPr id="11" name="Picture 11"/>
            <wp:cNvGraphicFramePr>
              <a:graphicFrameLocks noChangeAspect="1"/>
            </wp:cNvGraphicFramePr>
            <a:graphic>
              <a:graphicData uri="http://schemas.openxmlformats.org/drawingml/2006/picture">
                <pic:pic>
                  <pic:nvPicPr>
                    <pic:cNvPr id="0" name="drift_detection_by_fleet.png"/>
                    <pic:cNvPicPr/>
                  </pic:nvPicPr>
                  <pic:blipFill>
                    <a:blip r:embed="rId28"/>
                    <a:stretch>
                      <a:fillRect/>
                    </a:stretch>
                  </pic:blipFill>
                  <pic:spPr>
                    <a:xfrm>
                      <a:off x="0" y="0"/>
                      <a:ext cx="5943600" cy="6368143"/>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10" name="Picture 10"/>
            <wp:cNvGraphicFramePr>
              <a:graphicFrameLocks noChangeAspect="1"/>
            </wp:cNvGraphicFramePr>
            <a:graphic>
              <a:graphicData uri="http://schemas.openxmlformats.org/drawingml/2006/picture">
                <pic:pic>
                  <pic:nvPicPr>
                    <pic:cNvPr id="0" name="drift_ks_heatmap.png"/>
                    <pic:cNvPicPr/>
                  </pic:nvPicPr>
                  <pic:blipFill>
                    <a:blip r:embed="rId27"/>
                    <a:stretch>
                      <a:fillRect/>
                    </a:stretch>
                  </pic:blipFill>
                  <pic:spPr>
                    <a:xfrm>
                      <a:off x="0" y="0"/>
                      <a:ext cx="5486400" cy="2493818"/>
                    </a:xfrm>
                    <a:prstGeom prst="rect"/>
                  </pic:spPr>
                </pic:pic>
              </a:graphicData>
            </a:graphic>
          </wp:inline>
        </w:drawing>
      </w:r>
    </w:p>
    <w:p>
      <w:r>
        <w:rPr>
          <w:sz w:val="22"/>
        </w:rPr>
        <w:t>Achados operacionais: (1) 793-D 2S mostra alta volatilidade — detector dispara em quase todos os meses; frota com perfil operacional instável que requer monitoramento dedicado. (2) 793-D 4S é estável — sem drift detectado. (3) Em 793-D 3S o detector pega drift no score antes da taxa — modelo "sente" mudanças antes de materializarem em label, evidência de valor preditivo.</w:t>
      </w:r>
    </w:p>
    <w:p>
      <w:r>
        <w:rPr>
          <w:sz w:val="22"/>
        </w:rPr>
        <w:t>Achado metodológico: o Page-Hinkley com threshold absoluto subestima drift em classes raras. A escavadeira teve variação de 600× na taxa, mas em valores absolutos a variação é menor que λ=0,02. A solução é threshold relativo por frota — λ_fleet = max(0,005, base_rate × 5) — implementação simples que torna o sistema sensível a classes minoritárias. O Kolmogorov-Smirnov com threshold 0,3 (revisar) e 0,5 (re-treinar) já capturaria todas as transições problemáticas no heatmap.</w:t>
      </w:r>
    </w:p>
    <w:p>
      <w:pPr>
        <w:pStyle w:val="Ttulo2"/>
      </w:pPr>
      <w:r>
        <w:rPr>
          <w:color w:val="00A650"/>
        </w:rPr>
        <w:t>Política de Decisão por Frota (otimização operacional)</w:t>
      </w:r>
    </w:p>
    <w:p>
      <w:r>
        <w:rPr>
          <w:sz w:val="22"/>
        </w:rPr>
        <w:t>A análise de custo do Sprint 2 estabeleceu um threshold global custo-ótimo de 0,51. Contudo, a segmentação por frota revelou base rates e separabilidades muito heterogêneas (PR-AUC de 0,87 em 793-D 4S até 0,01 em LeTourneau). Um único ponto de corte é, portanto, subótimo. Calibramos um threshold custo-ótimo independente por frota sobre a validação (Mai/2025) e o aplicamos ao teste (Jun/2025), produzindo uma tabela de decisão operacional diretamente deployável:</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Frota</w:t>
            </w:r>
          </w:p>
        </w:tc>
        <w:tc>
          <w:tcPr>
            <w:tcW w:type="dxa" w:w="1063"/>
          </w:tcPr>
          <w:p>
            <w:r>
              <w:rPr>
                <w:b/>
              </w:rPr>
              <w:t>Threshold</w:t>
            </w:r>
          </w:p>
        </w:tc>
        <w:tc>
          <w:tcPr>
            <w:tcW w:type="dxa" w:w="1063"/>
          </w:tcPr>
          <w:p>
            <w:r>
              <w:rPr>
                <w:b/>
              </w:rPr>
              <w:t>TP</w:t>
            </w:r>
          </w:p>
        </w:tc>
        <w:tc>
          <w:tcPr>
            <w:tcW w:type="dxa" w:w="1063"/>
          </w:tcPr>
          <w:p>
            <w:r>
              <w:rPr>
                <w:b/>
              </w:rPr>
              <w:t>FP</w:t>
            </w:r>
          </w:p>
        </w:tc>
        <w:tc>
          <w:tcPr>
            <w:tcW w:type="dxa" w:w="1063"/>
          </w:tcPr>
          <w:p>
            <w:r>
              <w:rPr>
                <w:b/>
              </w:rPr>
              <w:t>FN</w:t>
            </w:r>
          </w:p>
        </w:tc>
        <w:tc>
          <w:tcPr>
            <w:tcW w:type="dxa" w:w="1063"/>
          </w:tcPr>
          <w:p>
            <w:r>
              <w:rPr>
                <w:b/>
              </w:rPr>
              <w:t>F1</w:t>
            </w:r>
          </w:p>
        </w:tc>
        <w:tc>
          <w:tcPr>
            <w:tcW w:type="dxa" w:w="1063"/>
          </w:tcPr>
          <w:p>
            <w:r>
              <w:rPr>
                <w:b/>
              </w:rPr>
              <w:t>Recall</w:t>
            </w:r>
          </w:p>
        </w:tc>
        <w:tc>
          <w:tcPr>
            <w:tcW w:type="dxa" w:w="1063"/>
          </w:tcPr>
          <w:p>
            <w:r>
              <w:rPr>
                <w:b/>
              </w:rPr>
              <w:t>Custo (R$ M)</w:t>
            </w:r>
          </w:p>
        </w:tc>
      </w:tr>
      <w:tr>
        <w:tc>
          <w:tcPr>
            <w:tcW w:type="dxa" w:w="1063"/>
          </w:tcPr>
          <w:p>
            <w:r>
              <w:t>793-D 2S</w:t>
            </w:r>
          </w:p>
        </w:tc>
        <w:tc>
          <w:tcPr>
            <w:tcW w:type="dxa" w:w="1063"/>
          </w:tcPr>
          <w:p>
            <w:r>
              <w:t>0.73</w:t>
            </w:r>
          </w:p>
        </w:tc>
        <w:tc>
          <w:tcPr>
            <w:tcW w:type="dxa" w:w="1063"/>
          </w:tcPr>
          <w:p>
            <w:r>
              <w:t>559</w:t>
            </w:r>
          </w:p>
        </w:tc>
        <w:tc>
          <w:tcPr>
            <w:tcW w:type="dxa" w:w="1063"/>
          </w:tcPr>
          <w:p>
            <w:r>
              <w:t>18.241</w:t>
            </w:r>
          </w:p>
        </w:tc>
        <w:tc>
          <w:tcPr>
            <w:tcW w:type="dxa" w:w="1063"/>
          </w:tcPr>
          <w:p>
            <w:r>
              <w:t>289</w:t>
            </w:r>
          </w:p>
        </w:tc>
        <w:tc>
          <w:tcPr>
            <w:tcW w:type="dxa" w:w="1063"/>
          </w:tcPr>
          <w:p>
            <w:r>
              <w:t>0,057</w:t>
            </w:r>
          </w:p>
        </w:tc>
        <w:tc>
          <w:tcPr>
            <w:tcW w:type="dxa" w:w="1063"/>
          </w:tcPr>
          <w:p>
            <w:r>
              <w:t>0,66</w:t>
            </w:r>
          </w:p>
        </w:tc>
        <w:tc>
          <w:tcPr>
            <w:tcW w:type="dxa" w:w="1063"/>
          </w:tcPr>
          <w:p>
            <w:r>
              <w:t>29,0</w:t>
            </w:r>
          </w:p>
        </w:tc>
      </w:tr>
      <w:tr>
        <w:tc>
          <w:tcPr>
            <w:tcW w:type="dxa" w:w="1063"/>
          </w:tcPr>
          <w:p>
            <w:r>
              <w:t>793-D 3S</w:t>
            </w:r>
          </w:p>
        </w:tc>
        <w:tc>
          <w:tcPr>
            <w:tcW w:type="dxa" w:w="1063"/>
          </w:tcPr>
          <w:p>
            <w:r>
              <w:t>0.32</w:t>
            </w:r>
          </w:p>
        </w:tc>
        <w:tc>
          <w:tcPr>
            <w:tcW w:type="dxa" w:w="1063"/>
          </w:tcPr>
          <w:p>
            <w:r>
              <w:t>1.961</w:t>
            </w:r>
          </w:p>
        </w:tc>
        <w:tc>
          <w:tcPr>
            <w:tcW w:type="dxa" w:w="1063"/>
          </w:tcPr>
          <w:p>
            <w:r>
              <w:t>15.330</w:t>
            </w:r>
          </w:p>
        </w:tc>
        <w:tc>
          <w:tcPr>
            <w:tcW w:type="dxa" w:w="1063"/>
          </w:tcPr>
          <w:p>
            <w:r>
              <w:t>218</w:t>
            </w:r>
          </w:p>
        </w:tc>
        <w:tc>
          <w:tcPr>
            <w:tcW w:type="dxa" w:w="1063"/>
          </w:tcPr>
          <w:p>
            <w:r>
              <w:t>0,201</w:t>
            </w:r>
          </w:p>
        </w:tc>
        <w:tc>
          <w:tcPr>
            <w:tcW w:type="dxa" w:w="1063"/>
          </w:tcPr>
          <w:p>
            <w:r>
              <w:t>0,90</w:t>
            </w:r>
          </w:p>
        </w:tc>
        <w:tc>
          <w:tcPr>
            <w:tcW w:type="dxa" w:w="1063"/>
          </w:tcPr>
          <w:p>
            <w:r>
              <w:t>23,2</w:t>
            </w:r>
          </w:p>
        </w:tc>
      </w:tr>
      <w:tr>
        <w:tc>
          <w:tcPr>
            <w:tcW w:type="dxa" w:w="1063"/>
          </w:tcPr>
          <w:p>
            <w:r>
              <w:t>793-D 4S</w:t>
            </w:r>
          </w:p>
        </w:tc>
        <w:tc>
          <w:tcPr>
            <w:tcW w:type="dxa" w:w="1063"/>
          </w:tcPr>
          <w:p>
            <w:r>
              <w:t>0.73</w:t>
            </w:r>
          </w:p>
        </w:tc>
        <w:tc>
          <w:tcPr>
            <w:tcW w:type="dxa" w:w="1063"/>
          </w:tcPr>
          <w:p>
            <w:r>
              <w:t>13.782</w:t>
            </w:r>
          </w:p>
        </w:tc>
        <w:tc>
          <w:tcPr>
            <w:tcW w:type="dxa" w:w="1063"/>
          </w:tcPr>
          <w:p>
            <w:r>
              <w:t>25.349</w:t>
            </w:r>
          </w:p>
        </w:tc>
        <w:tc>
          <w:tcPr>
            <w:tcW w:type="dxa" w:w="1063"/>
          </w:tcPr>
          <w:p>
            <w:r>
              <w:t>1.157</w:t>
            </w:r>
          </w:p>
        </w:tc>
        <w:tc>
          <w:tcPr>
            <w:tcW w:type="dxa" w:w="1063"/>
          </w:tcPr>
          <w:p>
            <w:r>
              <w:t>0,510</w:t>
            </w:r>
          </w:p>
        </w:tc>
        <w:tc>
          <w:tcPr>
            <w:tcW w:type="dxa" w:w="1063"/>
          </w:tcPr>
          <w:p>
            <w:r>
              <w:t>0,92</w:t>
            </w:r>
          </w:p>
        </w:tc>
        <w:tc>
          <w:tcPr>
            <w:tcW w:type="dxa" w:w="1063"/>
          </w:tcPr>
          <w:p>
            <w:r>
              <w:t>78,1</w:t>
            </w:r>
          </w:p>
        </w:tc>
      </w:tr>
      <w:tr>
        <w:tc>
          <w:tcPr>
            <w:tcW w:type="dxa" w:w="1063"/>
          </w:tcPr>
          <w:p>
            <w:r>
              <w:t>793-D 5S</w:t>
            </w:r>
          </w:p>
        </w:tc>
        <w:tc>
          <w:tcPr>
            <w:tcW w:type="dxa" w:w="1063"/>
          </w:tcPr>
          <w:p>
            <w:r>
              <w:t>0.59</w:t>
            </w:r>
          </w:p>
        </w:tc>
        <w:tc>
          <w:tcPr>
            <w:tcW w:type="dxa" w:w="1063"/>
          </w:tcPr>
          <w:p>
            <w:r>
              <w:t>14.937</w:t>
            </w:r>
          </w:p>
        </w:tc>
        <w:tc>
          <w:tcPr>
            <w:tcW w:type="dxa" w:w="1063"/>
          </w:tcPr>
          <w:p>
            <w:r>
              <w:t>116.000</w:t>
            </w:r>
          </w:p>
        </w:tc>
        <w:tc>
          <w:tcPr>
            <w:tcW w:type="dxa" w:w="1063"/>
          </w:tcPr>
          <w:p>
            <w:r>
              <w:t>2.138</w:t>
            </w:r>
          </w:p>
        </w:tc>
        <w:tc>
          <w:tcPr>
            <w:tcW w:type="dxa" w:w="1063"/>
          </w:tcPr>
          <w:p>
            <w:r>
              <w:t>0,202</w:t>
            </w:r>
          </w:p>
        </w:tc>
        <w:tc>
          <w:tcPr>
            <w:tcW w:type="dxa" w:w="1063"/>
          </w:tcPr>
          <w:p>
            <w:r>
              <w:t>0,87</w:t>
            </w:r>
          </w:p>
        </w:tc>
        <w:tc>
          <w:tcPr>
            <w:tcW w:type="dxa" w:w="1063"/>
          </w:tcPr>
          <w:p>
            <w:r>
              <w:t>199,7</w:t>
            </w:r>
          </w:p>
        </w:tc>
      </w:tr>
      <w:tr>
        <w:tc>
          <w:tcPr>
            <w:tcW w:type="dxa" w:w="1063"/>
          </w:tcPr>
          <w:p>
            <w:r>
              <w:t>LeTourneau L 1850</w:t>
            </w:r>
          </w:p>
        </w:tc>
        <w:tc>
          <w:tcPr>
            <w:tcW w:type="dxa" w:w="1063"/>
          </w:tcPr>
          <w:p>
            <w:r>
              <w:t>0.51</w:t>
            </w:r>
          </w:p>
        </w:tc>
        <w:tc>
          <w:tcPr>
            <w:tcW w:type="dxa" w:w="1063"/>
          </w:tcPr>
          <w:p>
            <w:r>
              <w:t>22</w:t>
            </w:r>
          </w:p>
        </w:tc>
        <w:tc>
          <w:tcPr>
            <w:tcW w:type="dxa" w:w="1063"/>
          </w:tcPr>
          <w:p>
            <w:r>
              <w:t>2.683</w:t>
            </w:r>
          </w:p>
        </w:tc>
        <w:tc>
          <w:tcPr>
            <w:tcW w:type="dxa" w:w="1063"/>
          </w:tcPr>
          <w:p>
            <w:r>
              <w:t>140</w:t>
            </w:r>
          </w:p>
        </w:tc>
        <w:tc>
          <w:tcPr>
            <w:tcW w:type="dxa" w:w="1063"/>
          </w:tcPr>
          <w:p>
            <w:r>
              <w:t>0,015</w:t>
            </w:r>
          </w:p>
        </w:tc>
        <w:tc>
          <w:tcPr>
            <w:tcW w:type="dxa" w:w="1063"/>
          </w:tcPr>
          <w:p>
            <w:r>
              <w:t>0,14</w:t>
            </w:r>
          </w:p>
        </w:tc>
        <w:tc>
          <w:tcPr>
            <w:tcW w:type="dxa" w:w="1063"/>
          </w:tcPr>
          <w:p>
            <w:r>
              <w:t>9,1</w:t>
            </w:r>
          </w:p>
        </w:tc>
      </w:tr>
    </w:tbl>
    <w:p>
      <w:pPr>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fleet_threshold_policy.png"/>
                    <pic:cNvPicPr/>
                  </pic:nvPicPr>
                  <pic:blipFill>
                    <a:blip r:embed="rId26"/>
                    <a:stretch>
                      <a:fillRect/>
                    </a:stretch>
                  </pic:blipFill>
                  <pic:spPr>
                    <a:xfrm>
                      <a:off x="0" y="0"/>
                      <a:ext cx="5486400" cy="3291840"/>
                    </a:xfrm>
                    <a:prstGeom prst="rect"/>
                  </pic:spPr>
                </pic:pic>
              </a:graphicData>
            </a:graphic>
          </wp:inline>
        </w:drawing>
      </w:r>
    </w:p>
    <w:p>
      <w:r>
        <w:rPr>
          <w:sz w:val="22"/>
        </w:rPr>
        <w:t>A política por frota reduz o custo operacional total de R$343,3M (threshold único) para R$339,2M — economia adicional de R$4,2M (+1,2%) sobre o ganho já demonstrado no Sprint 2. Mais relevante que o ganho de custo: o F1 agregado sobe de 0,219 para 0,256 (+17% relativo), porque thresholds mais altos nas frotas 793-D 5S e 2S suprimem milhares de falsos positivos sem sacrificar recall.</w:t>
      </w:r>
    </w:p>
    <w:p>
      <w:pPr>
        <w:jc w:val="center"/>
      </w:pPr>
      <w:r>
        <w:drawing>
          <wp:inline xmlns:a="http://schemas.openxmlformats.org/drawingml/2006/main" xmlns:pic="http://schemas.openxmlformats.org/drawingml/2006/picture">
            <wp:extent cx="5943600" cy="3241964"/>
            <wp:docPr id="8" name="Picture 8"/>
            <wp:cNvGraphicFramePr>
              <a:graphicFrameLocks noChangeAspect="1"/>
            </wp:cNvGraphicFramePr>
            <a:graphic>
              <a:graphicData uri="http://schemas.openxmlformats.org/drawingml/2006/picture">
                <pic:pic>
                  <pic:nvPicPr>
                    <pic:cNvPr id="0" name="fleet_threshold_cost_comparison.png"/>
                    <pic:cNvPicPr/>
                  </pic:nvPicPr>
                  <pic:blipFill>
                    <a:blip r:embed="rId25"/>
                    <a:stretch>
                      <a:fillRect/>
                    </a:stretch>
                  </pic:blipFill>
                  <pic:spPr>
                    <a:xfrm>
                      <a:off x="0" y="0"/>
                      <a:ext cx="5943600" cy="3241964"/>
                    </a:xfrm>
                    <a:prstGeom prst="rect"/>
                  </pic:spPr>
                </pic:pic>
              </a:graphicData>
            </a:graphic>
          </wp:inline>
        </w:drawing>
      </w:r>
    </w:p>
    <w:p>
      <w:r>
        <w:rPr>
          <w:sz w:val="22"/>
        </w:rPr>
        <w:t>Achado operacional: as frotas 793-D 4S e 2S exigem thresholds altos (0,73) — o modelo é confiante e específico nelas; já a 793-D 3S opera melhor com threshold baixo (0,32), priorizando recall. A LeTourneau permanece refratária a qualquer threshold (Recall=0,14), confirmando o achado do Sprint 5 de que o problema da escavadeira é de feature engineering, não de ponto de corte. Esta tabela de decisão pode ser carregada diretamente no motor de inferência em produção, sem retreinamento do modelo.</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ca65926_vs_frota.png"/>
                    <pic:cNvPicPr/>
                  </pic:nvPicPr>
                  <pic:blipFill>
                    <a:blip r:embed="rId24"/>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ca65926_monthly_escalation.png"/>
                    <pic:cNvPicPr/>
                  </pic:nvPicPr>
                  <pic:blipFill>
                    <a:blip r:embed="rId23"/>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5" name="Picture 5"/>
            <wp:cNvGraphicFramePr>
              <a:graphicFrameLocks noChangeAspect="1"/>
            </wp:cNvGraphicFramePr>
            <a:graphic>
              <a:graphicData uri="http://schemas.openxmlformats.org/drawingml/2006/picture">
                <pic:pic>
                  <pic:nvPicPr>
                    <pic:cNvPr id="0" name="ca65926_daily_timeline.png"/>
                    <pic:cNvPicPr/>
                  </pic:nvPicPr>
                  <pic:blipFill>
                    <a:blip r:embed="rId22"/>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3918857"/>
            <wp:docPr id="4" name="Picture 4"/>
            <wp:cNvGraphicFramePr>
              <a:graphicFrameLocks noChangeAspect="1"/>
            </wp:cNvGraphicFramePr>
            <a:graphic>
              <a:graphicData uri="http://schemas.openxmlformats.org/drawingml/2006/picture">
                <pic:pic>
                  <pic:nvPicPr>
                    <pic:cNvPr id="0" name="shap_importance.png"/>
                    <pic:cNvPicPr/>
                  </pic:nvPicPr>
                  <pic:blipFill>
                    <a:blip r:embed="rId21"/>
                    <a:stretch>
                      <a:fillRect/>
                    </a:stretch>
                  </pic:blipFill>
                  <pic:spPr>
                    <a:xfrm>
                      <a:off x="0" y="0"/>
                      <a:ext cx="4572000" cy="3918857"/>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3" name="Picture 3"/>
            <wp:cNvGraphicFramePr>
              <a:graphicFrameLocks noChangeAspect="1"/>
            </wp:cNvGraphicFramePr>
            <a:graphic>
              <a:graphicData uri="http://schemas.openxmlformats.org/drawingml/2006/picture">
                <pic:pic>
                  <pic:nvPicPr>
                    <pic:cNvPr id="0" name="timeline_CA65926.png"/>
                    <pic:cNvPicPr/>
                  </pic:nvPicPr>
                  <pic:blipFill>
                    <a:blip r:embed="rId20"/>
                    <a:stretch>
                      <a:fillRect/>
                    </a:stretch>
                  </pic:blipFill>
                  <pic:spPr>
                    <a:xfrm>
                      <a:off x="0" y="0"/>
                      <a:ext cx="5029200" cy="3233057"/>
                    </a:xfrm>
                    <a:prstGeom prst="rect"/>
                  </pic:spPr>
                </pic:pic>
              </a:graphicData>
            </a:graphic>
          </wp:inline>
        </w:drawing>
      </w:r>
    </w:p>
    <w:p>
      <w:pPr>
        <w:pStyle w:val="Ttulo2"/>
      </w:pPr>
      <w:r>
        <w:rPr>
          <w:color w:val="00A650"/>
        </w:rPr>
        <w:t>Painéis Interativos — Visão Executiva</w:t>
      </w:r>
    </w:p>
    <w:p>
      <w:r>
        <w:rPr>
          <w:sz w:val="22"/>
        </w:rPr>
        <w:t>Além do modelo e das análises estáticas, o projeto entrega um conjunto de painéis interativos (Plotly/HTML, em outputs/dashboards/) e um aplicativo Streamlit para consumo operacional contínuo. Abaixo, snapshots estáticos de dois deles; as versões completas permitem zoom, hover e filtros. O primeiro consolida o ranking de risco de toda a frota — priorizando visualmente os equipamentos para inspeção preventiva:</w:t>
      </w:r>
    </w:p>
    <w:p>
      <w:pPr>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dash_fleet_risk.png"/>
                    <pic:cNvPicPr/>
                  </pic:nvPicPr>
                  <pic:blipFill>
                    <a:blip r:embed="rId19"/>
                    <a:stretch>
                      <a:fillRect/>
                    </a:stretch>
                  </pic:blipFill>
                  <pic:spPr>
                    <a:xfrm>
                      <a:off x="0" y="0"/>
                      <a:ext cx="5943600" cy="3343275"/>
                    </a:xfrm>
                    <a:prstGeom prst="rect"/>
                  </pic:spPr>
                </pic:pic>
              </a:graphicData>
            </a:graphic>
          </wp:inline>
        </w:drawing>
      </w:r>
    </w:p>
    <w:p>
      <w:r>
        <w:rPr>
          <w:sz w:val="22"/>
        </w:rPr>
        <w:t>O segundo é a timeline de score de risco do CA65926 ao longo de Junho/2025 — o painel que materializa a janela operacional de antecedência: cada pico de risco precede um evento Don't Go, permitindo acionar a manutenção antes da paralisação:</w:t>
      </w:r>
    </w:p>
    <w:p>
      <w:pPr>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dash_risk_timeline_ca65926.png"/>
                    <pic:cNvPicPr/>
                  </pic:nvPicPr>
                  <pic:blipFill>
                    <a:blip r:embed="rId18"/>
                    <a:stretch>
                      <a:fillRect/>
                    </a:stretch>
                  </pic:blipFill>
                  <pic:spPr>
                    <a:xfrm>
                      <a:off x="0" y="0"/>
                      <a:ext cx="5943600" cy="3343275"/>
                    </a:xfrm>
                    <a:prstGeom prst="rect"/>
                  </pic:spPr>
                </pic:pic>
              </a:graphicData>
            </a:graphic>
          </wp:inline>
        </w:drawing>
      </w:r>
    </w:p>
    <w:p>
      <w:r>
        <w:rPr>
          <w:sz w:val="22"/>
        </w:rPr>
        <w:t>Os painéis interativos completos (ranking de risco, padrões temporais, alarm fingerprint, SHAP global, análise do equipamento crítico) estão em outputs/dashboards/ e são reproduzíveis via src/visualization.py. O dashboard executivo de story-telling (09_story_dashboard.html) consolida toda a narrativa problema → modelo → recomendações em uma única página.</w:t>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0,96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+340% sobre a heurística operacional tradicional, justificando empiricamente o investimento em modelagem preditiva. A análise de custo (FN=R$50K, FP=R$800), medida por episódio de Don't Go (1 episódio = 1 parada física), revela que o threshold custo-ótimo economiza ~R$6 milhões no mês de teste em relação ao threshold otimizado por F1, capturando ~99% das paradas reais — em problemas operacionais críticos, este é o regime de operação correto.</w:t>
      </w:r>
    </w:p>
    <w:p>
      <w:r>
        <w:rPr>
          <w:sz w:val="22"/>
        </w:rPr>
        <w:t>A identificação do CA65926 como outlier extremo (taxa DG 98× superior à média semestral; escalada para 21,58% em Jun/2025, ou 205× a média da sua frota naquele mês)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Fingerprint dedicado da escavadeira LeTourneau L 1850 — o Sprint 11 já identificou empiricamente os alarmes a adicionar: 'Channel Forced' (lift 44×, taxa pré-DG 16,7%) e 'MC - Temperatura do PTO &gt;90°C' (lift 28,7×) são os sinais mais preditivos e estão 100% ausentes do fingerprint atual (excluídos pelo critério de frequência por serem raros). O próximo passo concreto é (a) adicionar os top-8 alarmes de alto lift da escavadeira como features binárias dedicadas e retreinar avaliando o ganho de recall na LeTourneau, (b) acoplar ao detector de drift do Sprint 8 com threshold relativo por frota (λ_fleet = max(0,005, base_rate × 5)) capturando classes raras, e (c) investigação operacional do colapso de taxa DG entre Mai e Jun — possível achado de negócio em si.</w:t>
      </w:r>
    </w:p>
    <w:p>
      <w:pPr>
        <w:pStyle w:val="Commarcadores"/>
      </w:pPr>
      <w:r>
        <w:rPr>
          <w:sz w:val="22"/>
        </w:rPr>
        <w:t>2. Adaptação online da política de threshold por frota — o Sprint 9 já implementou a tabela de decisão custo-ótima por frota (economia adicional sobre o threshold único e F1 agregado +17% relativo). A evolução natural é acoplar essa política ao detector de drift do Sprint 8: recalibrar automaticamente o threshold de cada frota quando o KS mensal ultrapassar 0,3, mantendo a decisão custo-ótima sob distribuição não-estacionária.</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cuja taxa de Don't Go escalou para 21,58% em Jun/2025 (205× a média da frota 793-D 4S naquele mês; 98× acima da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Re-treinamento adaptativo para a escavadeira — a PoC de modelo sequencial (GRU) do Sprint 12 foi testada e NÃO superou o baseline (PR-AUC 0,0002 vs 0,0102; ROC-AUC 0,43), confirmando que o gargalo é a não-estacionariedade, não a arquitetura. O caminho indicado não é um modelo estático mais complexo, mas (a) pipeline de re-treinamento disparado pelo detector de drift do Sprint 8 e (b) investigação operacional do colapso da taxa de Don't Go da escavadeira entre Mai e Jun/2025. Um Temporal Fusion Transformer só faria sentido após estabilizar a distribuição via re-treino adaptativo.</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