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w:t>
      </w:r>
    </w:p>
    <w:p>
      <w:r>
        <w:rPr>
          <w:sz w:val="22"/>
        </w:rPr>
        <w:t>Algoritmo: LightGBM Classifier, escolhido pela eficiência com dados tabulares de alta dimensionalidade e suporte nativo a dados esparsos.</w:t>
      </w:r>
    </w:p>
    <w:p>
      <w:r>
        <w:rPr>
          <w:sz w:val="22"/>
        </w:rPr>
        <w:t>Estratégia de desbalanceamento: undersampling das amostras negativas (ratio 1:5) + parâmetro scale_pos_weight calibrado para a proporção real do conjunto de treino.</w:t>
      </w:r>
    </w:p>
    <w:p>
      <w:r>
        <w:rPr>
          <w:sz w:val="22"/>
        </w:rPr>
        <w:t>Validação temporal: treino com Jan–Mai/2025 (~30M eventos), teste com Jun/2025 (~7,9M eventos). Separação estritamente temporal para simular uso em produção (sem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6,995 (0.45%) são amostras pré-Don't Go (60 minutos de antecedência). O limiar de decisão ótimo, determinado pela maximização do F1-Score na curva Precision-Recall, é de 0.1313.</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0.9916</w:t>
            </w:r>
          </w:p>
        </w:tc>
        <w:tc>
          <w:tcPr>
            <w:tcW w:type="dxa" w:w="2835"/>
          </w:tcPr>
          <w:p>
            <w:r>
              <w:t>Discriminação quase perfeita entre eventos pré-DG e não-DG</w:t>
            </w:r>
          </w:p>
        </w:tc>
      </w:tr>
      <w:tr>
        <w:tc>
          <w:tcPr>
            <w:tcW w:type="dxa" w:w="2835"/>
          </w:tcPr>
          <w:p>
            <w:r>
              <w:t>PR-AUC (Avg Precision)</w:t>
            </w:r>
          </w:p>
        </w:tc>
        <w:tc>
          <w:tcPr>
            <w:tcW w:type="dxa" w:w="2835"/>
          </w:tcPr>
          <w:p>
            <w:r>
              <w:t>0.5740</w:t>
            </w:r>
          </w:p>
        </w:tc>
        <w:tc>
          <w:tcPr>
            <w:tcW w:type="dxa" w:w="2835"/>
          </w:tcPr>
          <w:p>
            <w:r>
              <w:t>Muito bom para desbalanceamento de 0,45% positivos</w:t>
            </w:r>
          </w:p>
        </w:tc>
      </w:tr>
      <w:tr>
        <w:tc>
          <w:tcPr>
            <w:tcW w:type="dxa" w:w="2835"/>
          </w:tcPr>
          <w:p>
            <w:r>
              <w:t>F1-Score</w:t>
            </w:r>
          </w:p>
        </w:tc>
        <w:tc>
          <w:tcPr>
            <w:tcW w:type="dxa" w:w="2835"/>
          </w:tcPr>
          <w:p>
            <w:r>
              <w:t>0.6785</w:t>
            </w:r>
          </w:p>
        </w:tc>
        <w:tc>
          <w:tcPr>
            <w:tcW w:type="dxa" w:w="2835"/>
          </w:tcPr>
          <w:p>
            <w:r>
              <w:t>Equilíbrio precision-recall no limiar ótimo</w:t>
            </w:r>
          </w:p>
        </w:tc>
      </w:tr>
      <w:tr>
        <w:tc>
          <w:tcPr>
            <w:tcW w:type="dxa" w:w="2835"/>
          </w:tcPr>
          <w:p>
            <w:r>
              <w:t>Precision</w:t>
            </w:r>
          </w:p>
        </w:tc>
        <w:tc>
          <w:tcPr>
            <w:tcW w:type="dxa" w:w="2835"/>
          </w:tcPr>
          <w:p>
            <w:r>
              <w:t>0.7096</w:t>
            </w:r>
          </w:p>
        </w:tc>
        <w:tc>
          <w:tcPr>
            <w:tcW w:type="dxa" w:w="2835"/>
          </w:tcPr>
          <w:p>
            <w:r>
              <w:t>71% dos alertas emitidos correspondem a DG real</w:t>
            </w:r>
          </w:p>
        </w:tc>
      </w:tr>
      <w:tr>
        <w:tc>
          <w:tcPr>
            <w:tcW w:type="dxa" w:w="2835"/>
          </w:tcPr>
          <w:p>
            <w:r>
              <w:t>Recall</w:t>
            </w:r>
          </w:p>
        </w:tc>
        <w:tc>
          <w:tcPr>
            <w:tcW w:type="dxa" w:w="2835"/>
          </w:tcPr>
          <w:p>
            <w:r>
              <w:t>0.6500</w:t>
            </w:r>
          </w:p>
        </w:tc>
        <w:tc>
          <w:tcPr>
            <w:tcW w:type="dxa" w:w="2835"/>
          </w:tcPr>
          <w:p>
            <w:r>
              <w:t>65% dos eventos pré-DG são capturados</w:t>
            </w:r>
          </w:p>
        </w:tc>
      </w:tr>
      <w:tr>
        <w:tc>
          <w:tcPr>
            <w:tcW w:type="dxa" w:w="2835"/>
          </w:tcPr>
          <w:p>
            <w:r>
              <w:t>Limiar ótimo</w:t>
            </w:r>
          </w:p>
        </w:tc>
        <w:tc>
          <w:tcPr>
            <w:tcW w:type="dxa" w:w="2835"/>
          </w:tcPr>
          <w:p>
            <w:r>
              <w:t>0.1313</w:t>
            </w:r>
          </w:p>
        </w:tc>
        <w:tc>
          <w:tcPr>
            <w:tcW w:type="dxa" w:w="2835"/>
          </w:tcPr>
          <w:p>
            <w:r>
              <w:t>Threshold calibrado para dados desbalanceados</w:t>
            </w:r>
          </w:p>
        </w:tc>
      </w:tr>
    </w:tbl>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Esses alarmes compõem o 'DNA' do evento e são os principais sinais preditivos do modelo.</w:t>
      </w:r>
    </w:p>
    <w:p>
      <w:r>
        <w:rPr>
          <w:sz w:val="22"/>
        </w:rPr>
        <w:t>A feature de maior impacto SHAP (min_desde_ultimo_dg) confirma que equipamentos que tiveram um Don't Go recente têm risco elevado de reincidência — indicando falhas recorrentes não resolvidas na manutenção corretiva.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