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53 features — frequências de alarmes em janelas rolantes, fingerprint dos top-30 alarmes e contexto operacional (sem a flag do evento atual Is_Dont_Go, removida por ser vazamento concorrente) — alcançou F1-Score de 0,67 e ROC-AUC de 0,99 na predição de Don't Go com 60 minutos de antecedência (validação temporal estrita: treino Jan–Abr, validação Mai, teste Jun). O ganho de F1 sobre a heurística operacional tradicional é de +341%. O threshold de decisão é fixado na validação(Mai) e aplicado intacto ao teste (Jun), nunca selecionado no próprio teste. A análise multi-horizonte demonstra previsão robusta em até 240 minutos (ROC-AUC≈0,95 em 4h), cumprindo a promessa operacional do PRD. A análise de custo operacional (FN=R$50K, FP=R$800, razão 62,5×), medida por EPISÓDIO de Don't Go (1 episódio = 1 parada física, não por linha de telemetria), revela que o threshold custo-ótimo economiza ~R$26 milhões no mês de teste em relação ao threshold otimizado por F1, capturando ~99,9% das paradas reais.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(teste, threshold da validação)</w:t>
            </w:r>
          </w:p>
        </w:tc>
        <w:tc>
          <w:tcPr>
            <w:tcW w:type="dxa" w:w="2835"/>
          </w:tcPr>
          <w:p>
            <w:r>
              <w:t>0,674</w:t>
            </w:r>
          </w:p>
        </w:tc>
        <w:tc>
          <w:tcPr>
            <w:tcW w:type="dxa" w:w="2835"/>
          </w:tcPr>
          <w:p>
            <w:r>
              <w:t>+341% de F1 sobre a heurística operacional (regra F1=0,153); sem vazamento Is_Dont_Go (53 features)</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0,94 mantido em todos os horizontes</w:t>
            </w:r>
          </w:p>
        </w:tc>
      </w:tr>
      <w:tr>
        <w:tc>
          <w:tcPr>
            <w:tcW w:type="dxa" w:w="2835"/>
          </w:tcPr>
          <w:p>
            <w:r>
              <w:t>Economia estimada (Jun)</w:t>
            </w:r>
          </w:p>
        </w:tc>
        <w:tc>
          <w:tcPr>
            <w:tcW w:type="dxa" w:w="2835"/>
          </w:tcPr>
          <w:p>
            <w:r>
              <w:t>~R$ 26 milhões</w:t>
            </w:r>
          </w:p>
        </w:tc>
        <w:tc>
          <w:tcPr>
            <w:tcW w:type="dxa" w:w="2835"/>
          </w:tcPr>
          <w:p>
            <w:r>
              <w:t>Threshold custo-ótimo vs F1-ótimo, por EPISÓDIO de Don't Go,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0.9914.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0.9924</w:t>
            </w:r>
          </w:p>
        </w:tc>
        <w:tc>
          <w:tcPr>
            <w:tcW w:type="dxa" w:w="2835"/>
          </w:tcPr>
          <w:p>
            <w:r>
              <w:t>Discriminação quase perfeita entre eventos pré-DG e não-DG</w:t>
            </w:r>
          </w:p>
        </w:tc>
      </w:tr>
      <w:tr>
        <w:tc>
          <w:tcPr>
            <w:tcW w:type="dxa" w:w="2835"/>
          </w:tcPr>
          <w:p>
            <w:r>
              <w:t>PR-AUC (Avg Precision)</w:t>
            </w:r>
          </w:p>
        </w:tc>
        <w:tc>
          <w:tcPr>
            <w:tcW w:type="dxa" w:w="2835"/>
          </w:tcPr>
          <w:p>
            <w:r>
              <w:t>0.7018</w:t>
            </w:r>
          </w:p>
        </w:tc>
        <w:tc>
          <w:tcPr>
            <w:tcW w:type="dxa" w:w="2835"/>
          </w:tcPr>
          <w:p>
            <w:r>
              <w:t>Muito bom para desbalanceamento de 0,45% positivos</w:t>
            </w:r>
          </w:p>
        </w:tc>
      </w:tr>
      <w:tr>
        <w:tc>
          <w:tcPr>
            <w:tcW w:type="dxa" w:w="2835"/>
          </w:tcPr>
          <w:p>
            <w:r>
              <w:t>F1-Score</w:t>
            </w:r>
          </w:p>
        </w:tc>
        <w:tc>
          <w:tcPr>
            <w:tcW w:type="dxa" w:w="2835"/>
          </w:tcPr>
          <w:p>
            <w:r>
              <w:t>0.6741</w:t>
            </w:r>
          </w:p>
        </w:tc>
        <w:tc>
          <w:tcPr>
            <w:tcW w:type="dxa" w:w="2835"/>
          </w:tcPr>
          <w:p>
            <w:r>
              <w:t>Equilíbrio precision-recall no limiar ótimo</w:t>
            </w:r>
          </w:p>
        </w:tc>
      </w:tr>
      <w:tr>
        <w:tc>
          <w:tcPr>
            <w:tcW w:type="dxa" w:w="2835"/>
          </w:tcPr>
          <w:p>
            <w:r>
              <w:t>Precision</w:t>
            </w:r>
          </w:p>
        </w:tc>
        <w:tc>
          <w:tcPr>
            <w:tcW w:type="dxa" w:w="2835"/>
          </w:tcPr>
          <w:p>
            <w:r>
              <w:t>0.7121</w:t>
            </w:r>
          </w:p>
        </w:tc>
        <w:tc>
          <w:tcPr>
            <w:tcW w:type="dxa" w:w="2835"/>
          </w:tcPr>
          <w:p>
            <w:r>
              <w:t>71% dos alertas emitidos correspondem a DG real</w:t>
            </w:r>
          </w:p>
        </w:tc>
      </w:tr>
      <w:tr>
        <w:tc>
          <w:tcPr>
            <w:tcW w:type="dxa" w:w="2835"/>
          </w:tcPr>
          <w:p>
            <w:r>
              <w:t>Recall</w:t>
            </w:r>
          </w:p>
        </w:tc>
        <w:tc>
          <w:tcPr>
            <w:tcW w:type="dxa" w:w="2835"/>
          </w:tcPr>
          <w:p>
            <w:r>
              <w:t>0.6400</w:t>
            </w:r>
          </w:p>
        </w:tc>
        <w:tc>
          <w:tcPr>
            <w:tcW w:type="dxa" w:w="2835"/>
          </w:tcPr>
          <w:p>
            <w:r>
              <w:t>64% dos eventos pré-DG são capturados com ≥1h de antecedência</w:t>
            </w:r>
          </w:p>
        </w:tc>
      </w:tr>
      <w:tr>
        <w:tc>
          <w:tcPr>
            <w:tcW w:type="dxa" w:w="2835"/>
          </w:tcPr>
          <w:p>
            <w:r>
              <w:t>Limiar ótimo</w:t>
            </w:r>
          </w:p>
        </w:tc>
        <w:tc>
          <w:tcPr>
            <w:tcW w:type="dxa" w:w="2835"/>
          </w:tcPr>
          <w:p>
            <w:r>
              <w:t>0.9914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165231"/>
            <wp:docPr id="28" name="Picture 28"/>
            <wp:cNvGraphicFramePr>
              <a:graphicFrameLocks noChangeAspect="1"/>
            </wp:cNvGraphicFramePr>
            <a:graphic>
              <a:graphicData uri="http://schemas.openxmlformats.org/drawingml/2006/picture">
                <pic:pic>
                  <pic:nvPicPr>
                    <pic:cNvPr id="0" name="roc_curve.png"/>
                    <pic:cNvPicPr/>
                  </pic:nvPicPr>
                  <pic:blipFill>
                    <a:blip r:embed="rId45"/>
                    <a:stretch>
                      <a:fillRect/>
                    </a:stretch>
                  </pic:blipFill>
                  <pic:spPr>
                    <a:xfrm>
                      <a:off x="0" y="0"/>
                      <a:ext cx="4114800" cy="3165231"/>
                    </a:xfrm>
                    <a:prstGeom prst="rect"/>
                  </pic:spPr>
                </pic:pic>
              </a:graphicData>
            </a:graphic>
          </wp:inline>
        </w:drawing>
      </w:r>
    </w:p>
    <w:p>
      <w:pPr>
        <w:jc w:val="center"/>
      </w:pPr>
      <w:r>
        <w:drawing>
          <wp:inline xmlns:a="http://schemas.openxmlformats.org/drawingml/2006/main" xmlns:pic="http://schemas.openxmlformats.org/drawingml/2006/picture">
            <wp:extent cx="3200400" cy="2844800"/>
            <wp:docPr id="27" name="Picture 27"/>
            <wp:cNvGraphicFramePr>
              <a:graphicFrameLocks noChangeAspect="1"/>
            </wp:cNvGraphicFramePr>
            <a:graphic>
              <a:graphicData uri="http://schemas.openxmlformats.org/drawingml/2006/picture">
                <pic:pic>
                  <pic:nvPicPr>
                    <pic:cNvPr id="0" name="confusion_matrix.png"/>
                    <pic:cNvPicPr/>
                  </pic:nvPicPr>
                  <pic:blipFill>
                    <a:blip r:embed="rId44"/>
                    <a:stretch>
                      <a:fillRect/>
                    </a:stretch>
                  </pic:blipFill>
                  <pic:spPr>
                    <a:xfrm>
                      <a:off x="0" y="0"/>
                      <a:ext cx="3200400" cy="284480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0.1485</w:t>
            </w:r>
          </w:p>
        </w:tc>
        <w:tc>
          <w:tcPr>
            <w:tcW w:type="dxa" w:w="1417"/>
          </w:tcPr>
          <w:p>
            <w:r>
              <w:t>0.0853</w:t>
            </w:r>
          </w:p>
        </w:tc>
        <w:tc>
          <w:tcPr>
            <w:tcW w:type="dxa" w:w="1417"/>
          </w:tcPr>
          <w:p>
            <w:r>
              <w:t>0.5714</w:t>
            </w:r>
          </w:p>
        </w:tc>
        <w:tc>
          <w:tcPr>
            <w:tcW w:type="dxa" w:w="1417"/>
          </w:tcPr>
          <w:p>
            <w:r>
              <w:t>0.9669</w:t>
            </w:r>
          </w:p>
        </w:tc>
        <w:tc>
          <w:tcPr>
            <w:tcW w:type="dxa" w:w="1417"/>
          </w:tcPr>
          <w:p>
            <w:r>
              <w:t>0.0747</w:t>
            </w:r>
          </w:p>
        </w:tc>
      </w:tr>
      <w:tr>
        <w:tc>
          <w:tcPr>
            <w:tcW w:type="dxa" w:w="1417"/>
          </w:tcPr>
          <w:p>
            <w:r>
              <w:t>Random Forest</w:t>
            </w:r>
          </w:p>
        </w:tc>
        <w:tc>
          <w:tcPr>
            <w:tcW w:type="dxa" w:w="1417"/>
          </w:tcPr>
          <w:p>
            <w:r>
              <w:t>0.6741</w:t>
            </w:r>
          </w:p>
        </w:tc>
        <w:tc>
          <w:tcPr>
            <w:tcW w:type="dxa" w:w="1417"/>
          </w:tcPr>
          <w:p>
            <w:r>
              <w:t>0.7063</w:t>
            </w:r>
          </w:p>
        </w:tc>
        <w:tc>
          <w:tcPr>
            <w:tcW w:type="dxa" w:w="1417"/>
          </w:tcPr>
          <w:p>
            <w:r>
              <w:t>0.6447</w:t>
            </w:r>
          </w:p>
        </w:tc>
        <w:tc>
          <w:tcPr>
            <w:tcW w:type="dxa" w:w="1417"/>
          </w:tcPr>
          <w:p>
            <w:r>
              <w:t>0.9940</w:t>
            </w:r>
          </w:p>
        </w:tc>
        <w:tc>
          <w:tcPr>
            <w:tcW w:type="dxa" w:w="1417"/>
          </w:tcPr>
          <w:p>
            <w:r>
              <w:t>0.7170</w:t>
            </w:r>
          </w:p>
        </w:tc>
      </w:tr>
      <w:tr>
        <w:tc>
          <w:tcPr>
            <w:tcW w:type="dxa" w:w="1417"/>
          </w:tcPr>
          <w:p>
            <w:r>
              <w:t>LightGBM (principal)</w:t>
            </w:r>
          </w:p>
        </w:tc>
        <w:tc>
          <w:tcPr>
            <w:tcW w:type="dxa" w:w="1417"/>
          </w:tcPr>
          <w:p>
            <w:r>
              <w:t>0.6741</w:t>
            </w:r>
          </w:p>
        </w:tc>
        <w:tc>
          <w:tcPr>
            <w:tcW w:type="dxa" w:w="1417"/>
          </w:tcPr>
          <w:p>
            <w:r>
              <w:t>0.7121</w:t>
            </w:r>
          </w:p>
        </w:tc>
        <w:tc>
          <w:tcPr>
            <w:tcW w:type="dxa" w:w="1417"/>
          </w:tcPr>
          <w:p>
            <w:r>
              <w:t>0.6400</w:t>
            </w:r>
          </w:p>
        </w:tc>
        <w:tc>
          <w:tcPr>
            <w:tcW w:type="dxa" w:w="1417"/>
          </w:tcPr>
          <w:p>
            <w:r>
              <w:t>0.9924</w:t>
            </w:r>
          </w:p>
        </w:tc>
        <w:tc>
          <w:tcPr>
            <w:tcW w:type="dxa" w:w="1417"/>
          </w:tcPr>
          <w:p>
            <w:r>
              <w:t>0.7018</w:t>
            </w:r>
          </w:p>
        </w:tc>
      </w:tr>
    </w:tbl>
    <w:p>
      <w:r>
        <w:rPr>
          <w:sz w:val="22"/>
        </w:rPr>
        <w:t>Nota metodológica: esta tabela é o benchmark formal de cinco modelos (Sprint 1), no qual cada modelo é pontuado no mesmo harness unificado sobre a matriz Gold, com o threshold de cada modelo fixado na validação (Mai) e aplicado ao teste (Jun). O modelo de produção é treinado sem a flag de vazamento Is_Dont_Go (53 features); o harness reproduz exatamente sua métrica canônica (F1=0,674, ROC-AUC=0,992, PR-AUC=0,702 — ver model_metrics.json). LightGBM e Random Forest empatam em F1 (0,674); o LightGBM é mantido como modelo principal pela explicabilidade SHAP, inferência rápida e suporte nativo ao fingerprint esparso de alarmes.</w:t>
      </w:r>
    </w:p>
    <w:p>
      <w:r>
        <w:rPr>
          <w:sz w:val="22"/>
        </w:rPr>
        <w:t>Três observações principais emergem desta comparação:</w:t>
      </w:r>
    </w:p>
    <w:p>
      <w:pPr>
        <w:pStyle w:val="Commarcadores"/>
      </w:pPr>
      <w:r>
        <w:rPr>
          <w:sz w:val="22"/>
        </w:rPr>
        <w:t>Ganho de F1 do ML sobre a heurística operacional: +341% (0,674 vs 0,153).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6" name="Picture 26"/>
            <wp:cNvGraphicFramePr>
              <a:graphicFrameLocks noChangeAspect="1"/>
            </wp:cNvGraphicFramePr>
            <a:graphic>
              <a:graphicData uri="http://schemas.openxmlformats.org/drawingml/2006/picture">
                <pic:pic>
                  <pic:nvPicPr>
                    <pic:cNvPr id="0" name="comparison_f1_bar.png"/>
                    <pic:cNvPicPr/>
                  </pic:nvPicPr>
                  <pic:blipFill>
                    <a:blip r:embed="rId43"/>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5" name="Picture 25"/>
            <wp:cNvGraphicFramePr>
              <a:graphicFrameLocks noChangeAspect="1"/>
            </wp:cNvGraphicFramePr>
            <a:graphic>
              <a:graphicData uri="http://schemas.openxmlformats.org/drawingml/2006/picture">
                <pic:pic>
                  <pic:nvPicPr>
                    <pic:cNvPr id="0" name="comparison_pr_curves.png"/>
                    <pic:cNvPicPr/>
                  </pic:nvPicPr>
                  <pic:blipFill>
                    <a:blip r:embed="rId42"/>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0,6741</w:t>
            </w:r>
          </w:p>
        </w:tc>
        <w:tc>
          <w:tcPr>
            <w:tcW w:type="dxa" w:w="1417"/>
          </w:tcPr>
          <w:p>
            <w:r>
              <w:t>0,7121</w:t>
            </w:r>
          </w:p>
        </w:tc>
        <w:tc>
          <w:tcPr>
            <w:tcW w:type="dxa" w:w="1417"/>
          </w:tcPr>
          <w:p>
            <w:r>
              <w:t>0,6400</w:t>
            </w:r>
          </w:p>
        </w:tc>
        <w:tc>
          <w:tcPr>
            <w:tcW w:type="dxa" w:w="1417"/>
          </w:tcPr>
          <w:p>
            <w:r>
              <w:t>0,9924</w:t>
            </w:r>
          </w:p>
        </w:tc>
        <w:tc>
          <w:tcPr>
            <w:tcW w:type="dxa" w:w="1417"/>
          </w:tcPr>
          <w:p>
            <w:r>
              <w:t>0,7018</w:t>
            </w:r>
          </w:p>
        </w:tc>
      </w:tr>
      <w:tr>
        <w:tc>
          <w:tcPr>
            <w:tcW w:type="dxa" w:w="1417"/>
          </w:tcPr>
          <w:p>
            <w:r>
              <w:t>RandomForest</w:t>
            </w:r>
          </w:p>
        </w:tc>
        <w:tc>
          <w:tcPr>
            <w:tcW w:type="dxa" w:w="1417"/>
          </w:tcPr>
          <w:p>
            <w:r>
              <w:t>0,6737</w:t>
            </w:r>
          </w:p>
        </w:tc>
        <w:tc>
          <w:tcPr>
            <w:tcW w:type="dxa" w:w="1417"/>
          </w:tcPr>
          <w:p>
            <w:r>
              <w:t>0,7016</w:t>
            </w:r>
          </w:p>
        </w:tc>
        <w:tc>
          <w:tcPr>
            <w:tcW w:type="dxa" w:w="1417"/>
          </w:tcPr>
          <w:p>
            <w:r>
              <w:t>0,6480</w:t>
            </w:r>
          </w:p>
        </w:tc>
        <w:tc>
          <w:tcPr>
            <w:tcW w:type="dxa" w:w="1417"/>
          </w:tcPr>
          <w:p>
            <w:r>
              <w:t>0,9940</w:t>
            </w:r>
          </w:p>
        </w:tc>
        <w:tc>
          <w:tcPr>
            <w:tcW w:type="dxa" w:w="1417"/>
          </w:tcPr>
          <w:p>
            <w:r>
              <w:t>0,7170</w:t>
            </w:r>
          </w:p>
        </w:tc>
      </w:tr>
      <w:tr>
        <w:tc>
          <w:tcPr>
            <w:tcW w:type="dxa" w:w="1417"/>
          </w:tcPr>
          <w:p>
            <w:r>
              <w:t>Soft-voting</w:t>
            </w:r>
          </w:p>
        </w:tc>
        <w:tc>
          <w:tcPr>
            <w:tcW w:type="dxa" w:w="1417"/>
          </w:tcPr>
          <w:p>
            <w:r>
              <w:t>0,6738</w:t>
            </w:r>
          </w:p>
        </w:tc>
        <w:tc>
          <w:tcPr>
            <w:tcW w:type="dxa" w:w="1417"/>
          </w:tcPr>
          <w:p>
            <w:r>
              <w:t>0,7025</w:t>
            </w:r>
          </w:p>
        </w:tc>
        <w:tc>
          <w:tcPr>
            <w:tcW w:type="dxa" w:w="1417"/>
          </w:tcPr>
          <w:p>
            <w:r>
              <w:t>0,6473</w:t>
            </w:r>
          </w:p>
        </w:tc>
        <w:tc>
          <w:tcPr>
            <w:tcW w:type="dxa" w:w="1417"/>
          </w:tcPr>
          <w:p>
            <w:r>
              <w:t>0,9934</w:t>
            </w:r>
          </w:p>
        </w:tc>
        <w:tc>
          <w:tcPr>
            <w:tcW w:type="dxa" w:w="1417"/>
          </w:tcPr>
          <w:p>
            <w:r>
              <w:t>0,7155</w:t>
            </w:r>
          </w:p>
        </w:tc>
      </w:tr>
      <w:tr>
        <w:tc>
          <w:tcPr>
            <w:tcW w:type="dxa" w:w="1417"/>
          </w:tcPr>
          <w:p>
            <w:r>
              <w:t>Média ponderada</w:t>
            </w:r>
          </w:p>
        </w:tc>
        <w:tc>
          <w:tcPr>
            <w:tcW w:type="dxa" w:w="1417"/>
          </w:tcPr>
          <w:p>
            <w:r>
              <w:t>0,6737</w:t>
            </w:r>
          </w:p>
        </w:tc>
        <w:tc>
          <w:tcPr>
            <w:tcW w:type="dxa" w:w="1417"/>
          </w:tcPr>
          <w:p>
            <w:r>
              <w:t>0,7016</w:t>
            </w:r>
          </w:p>
        </w:tc>
        <w:tc>
          <w:tcPr>
            <w:tcW w:type="dxa" w:w="1417"/>
          </w:tcPr>
          <w:p>
            <w:r>
              <w:t>0,6480</w:t>
            </w:r>
          </w:p>
        </w:tc>
        <w:tc>
          <w:tcPr>
            <w:tcW w:type="dxa" w:w="1417"/>
          </w:tcPr>
          <w:p>
            <w:r>
              <w:t>0,9940</w:t>
            </w:r>
          </w:p>
        </w:tc>
        <w:tc>
          <w:tcPr>
            <w:tcW w:type="dxa" w:w="1417"/>
          </w:tcPr>
          <w:p>
            <w:r>
              <w:t>0,7170</w:t>
            </w:r>
          </w:p>
        </w:tc>
      </w:tr>
      <w:tr>
        <w:tc>
          <w:tcPr>
            <w:tcW w:type="dxa" w:w="1417"/>
          </w:tcPr>
          <w:p>
            <w:r>
              <w:t>Stacking</w:t>
            </w:r>
          </w:p>
        </w:tc>
        <w:tc>
          <w:tcPr>
            <w:tcW w:type="dxa" w:w="1417"/>
          </w:tcPr>
          <w:p>
            <w:r>
              <w:t>0,6737</w:t>
            </w:r>
          </w:p>
        </w:tc>
        <w:tc>
          <w:tcPr>
            <w:tcW w:type="dxa" w:w="1417"/>
          </w:tcPr>
          <w:p>
            <w:r>
              <w:t>0,7014</w:t>
            </w:r>
          </w:p>
        </w:tc>
        <w:tc>
          <w:tcPr>
            <w:tcW w:type="dxa" w:w="1417"/>
          </w:tcPr>
          <w:p>
            <w:r>
              <w:t>0,6482</w:t>
            </w:r>
          </w:p>
        </w:tc>
        <w:tc>
          <w:tcPr>
            <w:tcW w:type="dxa" w:w="1417"/>
          </w:tcPr>
          <w:p>
            <w:r>
              <w:t>0,9940</w:t>
            </w:r>
          </w:p>
        </w:tc>
        <w:tc>
          <w:tcPr>
            <w:tcW w:type="dxa" w:w="1417"/>
          </w:tcPr>
          <w:p>
            <w:r>
              <w:t>0,7169</w:t>
            </w:r>
          </w:p>
        </w:tc>
      </w:tr>
    </w:tbl>
    <w:p>
      <w:pPr>
        <w:jc w:val="center"/>
      </w:pPr>
      <w:r>
        <w:drawing>
          <wp:inline xmlns:a="http://schemas.openxmlformats.org/drawingml/2006/main" xmlns:pic="http://schemas.openxmlformats.org/drawingml/2006/picture">
            <wp:extent cx="5029200" cy="2766060"/>
            <wp:docPr id="24" name="Picture 24"/>
            <wp:cNvGraphicFramePr>
              <a:graphicFrameLocks noChangeAspect="1"/>
            </wp:cNvGraphicFramePr>
            <a:graphic>
              <a:graphicData uri="http://schemas.openxmlformats.org/drawingml/2006/picture">
                <pic:pic>
                  <pic:nvPicPr>
                    <pic:cNvPr id="0" name="ensemble_f1_comparison.png"/>
                    <pic:cNvPicPr/>
                  </pic:nvPicPr>
                  <pic:blipFill>
                    <a:blip r:embed="rId41"/>
                    <a:stretch>
                      <a:fillRect/>
                    </a:stretch>
                  </pic:blipFill>
                  <pic:spPr>
                    <a:xfrm>
                      <a:off x="0" y="0"/>
                      <a:ext cx="5029200" cy="2766060"/>
                    </a:xfrm>
                    <a:prstGeom prst="rect"/>
                  </pic:spPr>
                </pic:pic>
              </a:graphicData>
            </a:graphic>
          </wp:inline>
        </w:drawing>
      </w:r>
    </w:p>
    <w:p>
      <w:r>
        <w:rPr>
          <w:sz w:val="22"/>
        </w:rPr>
        <w:t>O melhor ensemble (Soft-voting) NÃO superou o melhor modelo-base (LightGBM) de forma relevante (Δ F1 = -0,0003, -0,0%).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3" name="Picture 23"/>
            <wp:cNvGraphicFramePr>
              <a:graphicFrameLocks noChangeAspect="1"/>
            </wp:cNvGraphicFramePr>
            <a:graphic>
              <a:graphicData uri="http://schemas.openxmlformats.org/drawingml/2006/picture">
                <pic:pic>
                  <pic:nvPicPr>
                    <pic:cNvPr id="0" name="ensemble_pr_curves.png"/>
                    <pic:cNvPicPr/>
                  </pic:nvPicPr>
                  <pic:blipFill>
                    <a:blip r:embed="rId40"/>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2" name="Picture 22"/>
            <wp:cNvGraphicFramePr>
              <a:graphicFrameLocks noChangeAspect="1"/>
            </wp:cNvGraphicFramePr>
            <a:graphic>
              <a:graphicData uri="http://schemas.openxmlformats.org/drawingml/2006/picture">
                <pic:pic>
                  <pic:nvPicPr>
                    <pic:cNvPr id="0" name="cost_vs_threshold.png"/>
                    <pic:cNvPicPr/>
                  </pic:nvPicPr>
                  <pic:blipFill>
                    <a:blip r:embed="rId39"/>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0.990</w:t>
            </w:r>
          </w:p>
        </w:tc>
        <w:tc>
          <w:tcPr>
            <w:tcW w:type="dxa" w:w="1215"/>
          </w:tcPr>
          <w:p>
            <w:r>
              <w:t>22,872</w:t>
            </w:r>
          </w:p>
        </w:tc>
        <w:tc>
          <w:tcPr>
            <w:tcW w:type="dxa" w:w="1215"/>
          </w:tcPr>
          <w:p>
            <w:r>
              <w:t>10,331</w:t>
            </w:r>
          </w:p>
        </w:tc>
        <w:tc>
          <w:tcPr>
            <w:tcW w:type="dxa" w:w="1215"/>
          </w:tcPr>
          <w:p>
            <w:r>
              <w:t>12,331</w:t>
            </w:r>
          </w:p>
        </w:tc>
        <w:tc>
          <w:tcPr>
            <w:tcW w:type="dxa" w:w="1215"/>
          </w:tcPr>
          <w:p>
            <w:r>
              <w:t>0.6687</w:t>
            </w:r>
          </w:p>
        </w:tc>
        <w:tc>
          <w:tcPr>
            <w:tcW w:type="dxa" w:w="1215"/>
          </w:tcPr>
          <w:p>
            <w:r>
              <w:t>624.8</w:t>
            </w:r>
          </w:p>
        </w:tc>
      </w:tr>
      <w:tr>
        <w:tc>
          <w:tcPr>
            <w:tcW w:type="dxa" w:w="1215"/>
          </w:tcPr>
          <w:p>
            <w:r>
              <w:t>Custo ótimo</w:t>
            </w:r>
          </w:p>
        </w:tc>
        <w:tc>
          <w:tcPr>
            <w:tcW w:type="dxa" w:w="1215"/>
          </w:tcPr>
          <w:p>
            <w:r>
              <w:t>0.070</w:t>
            </w:r>
          </w:p>
        </w:tc>
        <w:tc>
          <w:tcPr>
            <w:tcW w:type="dxa" w:w="1215"/>
          </w:tcPr>
          <w:p>
            <w:r>
              <w:t>34,745</w:t>
            </w:r>
          </w:p>
        </w:tc>
        <w:tc>
          <w:tcPr>
            <w:tcW w:type="dxa" w:w="1215"/>
          </w:tcPr>
          <w:p>
            <w:r>
              <w:t>458,668</w:t>
            </w:r>
          </w:p>
        </w:tc>
        <w:tc>
          <w:tcPr>
            <w:tcW w:type="dxa" w:w="1215"/>
          </w:tcPr>
          <w:p>
            <w:r>
              <w:t>458</w:t>
            </w:r>
          </w:p>
        </w:tc>
        <w:tc>
          <w:tcPr>
            <w:tcW w:type="dxa" w:w="1215"/>
          </w:tcPr>
          <w:p>
            <w:r>
              <w:t>0.1315</w:t>
            </w:r>
          </w:p>
        </w:tc>
        <w:tc>
          <w:tcPr>
            <w:tcW w:type="dxa" w:w="1215"/>
          </w:tcPr>
          <w:p>
            <w:r>
              <w:t>389.8</w:t>
            </w:r>
          </w:p>
        </w:tc>
      </w:tr>
    </w:tbl>
    <w:p>
      <w:r>
        <w:rPr>
          <w:sz w:val="22"/>
        </w:rPr>
        <w:t>Importante: a tabela acima precifica cada LINHA de telemetria como uma parada independente, o que superestima o custo absoluto em ordens de grandeza — um único Don't Go gera dezenas a centenas de linhas na janela pré-evento. A métrica honesta de impacto deduplica por EPISÓDIO (1 episódio de Don't Go = 1 parada física):</w:t>
      </w:r>
    </w:p>
    <w:p>
      <w:r>
        <w:rPr>
          <w:sz w:val="22"/>
        </w:rPr>
        <w:t>Conclusão financeira (por episódio): no teste há 5,652 episódios de Don't Go. O threshold custo-ótimo (~0.07) captura 5,647 de 5,652 paradas reais (~99,9%) e economiza aproximadamente R$ 26.3 milhões no mês de teste em relação ao threshold otimizado por F1. Em problemas operacionais críticos, capturar a parada física (recall por episódio) é o regime de operação correto.</w:t>
      </w:r>
    </w:p>
    <w:p>
      <w:pPr>
        <w:pStyle w:val="Ttulo3"/>
      </w:pPr>
      <w:r>
        <w:rPr>
          <w:color w:val="00A650"/>
        </w:rPr>
        <w:t>Casos Representativos — Falsos Positivos</w:t>
      </w:r>
    </w:p>
    <w:p>
      <w:r>
        <w:rPr>
          <w:sz w:val="22"/>
        </w:rPr>
        <w:t>Os 3 FPs de maior convicção do modelo concentram-se no CA65915 (793-D 4S) em uma janela de ~1 minuto: aceleração de alarmes críticos elevada, probabilidade prevista ~0.999,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(~0.001) ocorrem todos no PE3795 (LeTourneau L 1850) — escavadeira. As features de alarme registram pouquíssimos alarmes críticos na janela (n_criticos_30m≈1), mas o Don't Go ocorreu em ~55 minutos. O modelo praticamente não atribui risco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0.1192</w:t>
            </w:r>
          </w:p>
        </w:tc>
        <w:tc>
          <w:tcPr>
            <w:tcW w:type="dxa" w:w="1215"/>
          </w:tcPr>
          <w:p>
            <w:r>
              <w:t>0.9886</w:t>
            </w:r>
          </w:p>
        </w:tc>
        <w:tc>
          <w:tcPr>
            <w:tcW w:type="dxa" w:w="1215"/>
          </w:tcPr>
          <w:p>
            <w:r>
              <w:t>0.5906</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0.2135</w:t>
            </w:r>
          </w:p>
        </w:tc>
        <w:tc>
          <w:tcPr>
            <w:tcW w:type="dxa" w:w="1215"/>
          </w:tcPr>
          <w:p>
            <w:r>
              <w:t>0.9917</w:t>
            </w:r>
          </w:p>
        </w:tc>
        <w:tc>
          <w:tcPr>
            <w:tcW w:type="dxa" w:w="1215"/>
          </w:tcPr>
          <w:p>
            <w:r>
              <w:t>0.8860</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0.1923</w:t>
            </w:r>
          </w:p>
        </w:tc>
        <w:tc>
          <w:tcPr>
            <w:tcW w:type="dxa" w:w="1215"/>
          </w:tcPr>
          <w:p>
            <w:r>
              <w:t>1.0000</w:t>
            </w:r>
          </w:p>
        </w:tc>
        <w:tc>
          <w:tcPr>
            <w:tcW w:type="dxa" w:w="1215"/>
          </w:tcPr>
          <w:p>
            <w:r>
              <w:t>0.3707</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0.0219</w:t>
            </w:r>
          </w:p>
        </w:tc>
        <w:tc>
          <w:tcPr>
            <w:tcW w:type="dxa" w:w="1215"/>
          </w:tcPr>
          <w:p>
            <w:r>
              <w:t>1.0000</w:t>
            </w:r>
          </w:p>
        </w:tc>
        <w:tc>
          <w:tcPr>
            <w:tcW w:type="dxa" w:w="1215"/>
          </w:tcPr>
          <w:p>
            <w:r>
              <w:t>0.1116</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0.0069</w:t>
            </w:r>
          </w:p>
        </w:tc>
        <w:tc>
          <w:tcPr>
            <w:tcW w:type="dxa" w:w="1215"/>
          </w:tcPr>
          <w:p>
            <w:r>
              <w:t>0.1358</w:t>
            </w:r>
          </w:p>
        </w:tc>
        <w:tc>
          <w:tcPr>
            <w:tcW w:type="dxa" w:w="1215"/>
          </w:tcPr>
          <w:p>
            <w:r>
              <w:t>0.0216</w:t>
            </w:r>
          </w:p>
        </w:tc>
      </w:tr>
    </w:tbl>
    <w:p>
      <w:pPr>
        <w:jc w:val="center"/>
      </w:pPr>
      <w:r>
        <w:drawing>
          <wp:inline xmlns:a="http://schemas.openxmlformats.org/drawingml/2006/main" xmlns:pic="http://schemas.openxmlformats.org/drawingml/2006/picture">
            <wp:extent cx="5029200" cy="2286000"/>
            <wp:docPr id="21" name="Picture 21"/>
            <wp:cNvGraphicFramePr>
              <a:graphicFrameLocks noChangeAspect="1"/>
            </wp:cNvGraphicFramePr>
            <a:graphic>
              <a:graphicData uri="http://schemas.openxmlformats.org/drawingml/2006/picture">
                <pic:pic>
                  <pic:nvPicPr>
                    <pic:cNvPr id="0" name="f1_by_fleet.png"/>
                    <pic:cNvPicPr/>
                  </pic:nvPicPr>
                  <pic:blipFill>
                    <a:blip r:embed="rId38"/>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20" name="Picture 20"/>
            <wp:cNvGraphicFramePr>
              <a:graphicFrameLocks noChangeAspect="1"/>
            </wp:cNvGraphicFramePr>
            <a:graphic>
              <a:graphicData uri="http://schemas.openxmlformats.org/drawingml/2006/picture">
                <pic:pic>
                  <pic:nvPicPr>
                    <pic:cNvPr id="0" name="f1_by_equipment_scatter.png"/>
                    <pic:cNvPicPr/>
                  </pic:nvPicPr>
                  <pic:blipFill>
                    <a:blip r:embed="rId37"/>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19" name="Picture 19"/>
            <wp:cNvGraphicFramePr>
              <a:graphicFrameLocks noChangeAspect="1"/>
            </wp:cNvGraphicFramePr>
            <a:graphic>
              <a:graphicData uri="http://schemas.openxmlformats.org/drawingml/2006/picture">
                <pic:pic>
                  <pic:nvPicPr>
                    <pic:cNvPr id="0" name="escavadeira_fingerprint_lift.png"/>
                    <pic:cNvPicPr/>
                  </pic:nvPicPr>
                  <pic:blipFill>
                    <a:blip r:embed="rId36"/>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8" name="Picture 18"/>
            <wp:cNvGraphicFramePr>
              <a:graphicFrameLocks noChangeAspect="1"/>
            </wp:cNvGraphicFramePr>
            <a:graphic>
              <a:graphicData uri="http://schemas.openxmlformats.org/drawingml/2006/picture">
                <pic:pic>
                  <pic:nvPicPr>
                    <pic:cNvPr id="0" name="escavadeira_vs_caminhao_fingerprint.png"/>
                    <pic:cNvPicPr/>
                  </pic:nvPicPr>
                  <pic:blipFill>
                    <a:blip r:embed="rId35"/>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7" name="Picture 17"/>
            <wp:cNvGraphicFramePr>
              <a:graphicFrameLocks noChangeAspect="1"/>
            </wp:cNvGraphicFramePr>
            <a:graphic>
              <a:graphicData uri="http://schemas.openxmlformats.org/drawingml/2006/picture">
                <pic:pic>
                  <pic:nvPicPr>
                    <pic:cNvPr id="0" name="escavadeira_gru_vs_baseline.png"/>
                    <pic:cNvPicPr/>
                  </pic:nvPicPr>
                  <pic:blipFill>
                    <a:blip r:embed="rId34"/>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fixado na validação (0,99):</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0.6687</w:t>
            </w:r>
          </w:p>
        </w:tc>
        <w:tc>
          <w:tcPr>
            <w:tcW w:type="dxa" w:w="1063"/>
          </w:tcPr>
          <w:p>
            <w:r>
              <w:t>0.6889</w:t>
            </w:r>
          </w:p>
        </w:tc>
        <w:tc>
          <w:tcPr>
            <w:tcW w:type="dxa" w:w="1063"/>
          </w:tcPr>
          <w:p>
            <w:r>
              <w:t>0.6497</w:t>
            </w:r>
          </w:p>
        </w:tc>
        <w:tc>
          <w:tcPr>
            <w:tcW w:type="dxa" w:w="1063"/>
          </w:tcPr>
          <w:p>
            <w:r>
              <w:t>0.9924</w:t>
            </w:r>
          </w:p>
        </w:tc>
        <w:tc>
          <w:tcPr>
            <w:tcW w:type="dxa" w:w="1063"/>
          </w:tcPr>
          <w:p>
            <w:r>
              <w:t>0.7018</w:t>
            </w:r>
          </w:p>
        </w:tc>
      </w:tr>
      <w:tr>
        <w:tc>
          <w:tcPr>
            <w:tcW w:type="dxa" w:w="1063"/>
          </w:tcPr>
          <w:p>
            <w:r>
              <w:t>120</w:t>
            </w:r>
          </w:p>
        </w:tc>
        <w:tc>
          <w:tcPr>
            <w:tcW w:type="dxa" w:w="1063"/>
          </w:tcPr>
          <w:p>
            <w:r>
              <w:t>46,796</w:t>
            </w:r>
          </w:p>
        </w:tc>
        <w:tc>
          <w:tcPr>
            <w:tcW w:type="dxa" w:w="1063"/>
          </w:tcPr>
          <w:p>
            <w:r>
              <w:t>0.596%</w:t>
            </w:r>
          </w:p>
        </w:tc>
        <w:tc>
          <w:tcPr>
            <w:tcW w:type="dxa" w:w="1063"/>
          </w:tcPr>
          <w:p>
            <w:r>
              <w:t>0.6153</w:t>
            </w:r>
          </w:p>
        </w:tc>
        <w:tc>
          <w:tcPr>
            <w:tcW w:type="dxa" w:w="1063"/>
          </w:tcPr>
          <w:p>
            <w:r>
              <w:t>0.7412</w:t>
            </w:r>
          </w:p>
        </w:tc>
        <w:tc>
          <w:tcPr>
            <w:tcW w:type="dxa" w:w="1063"/>
          </w:tcPr>
          <w:p>
            <w:r>
              <w:t>0.5259</w:t>
            </w:r>
          </w:p>
        </w:tc>
        <w:tc>
          <w:tcPr>
            <w:tcW w:type="dxa" w:w="1063"/>
          </w:tcPr>
          <w:p>
            <w:r>
              <w:t>0.9831</w:t>
            </w:r>
          </w:p>
        </w:tc>
        <w:tc>
          <w:tcPr>
            <w:tcW w:type="dxa" w:w="1063"/>
          </w:tcPr>
          <w:p>
            <w:r>
              <w:t>0.6281</w:t>
            </w:r>
          </w:p>
        </w:tc>
      </w:tr>
      <w:tr>
        <w:tc>
          <w:tcPr>
            <w:tcW w:type="dxa" w:w="1063"/>
          </w:tcPr>
          <w:p>
            <w:r>
              <w:t>240</w:t>
            </w:r>
          </w:p>
        </w:tc>
        <w:tc>
          <w:tcPr>
            <w:tcW w:type="dxa" w:w="1063"/>
          </w:tcPr>
          <w:p>
            <w:r>
              <w:t>69,036</w:t>
            </w:r>
          </w:p>
        </w:tc>
        <w:tc>
          <w:tcPr>
            <w:tcW w:type="dxa" w:w="1063"/>
          </w:tcPr>
          <w:p>
            <w:r>
              <w:t>0.879%</w:t>
            </w:r>
          </w:p>
        </w:tc>
        <w:tc>
          <w:tcPr>
            <w:tcW w:type="dxa" w:w="1063"/>
          </w:tcPr>
          <w:p>
            <w:r>
              <w:t>0.5077</w:t>
            </w:r>
          </w:p>
        </w:tc>
        <w:tc>
          <w:tcPr>
            <w:tcW w:type="dxa" w:w="1063"/>
          </w:tcPr>
          <w:p>
            <w:r>
              <w:t>0.7816</w:t>
            </w:r>
          </w:p>
        </w:tc>
        <w:tc>
          <w:tcPr>
            <w:tcW w:type="dxa" w:w="1063"/>
          </w:tcPr>
          <w:p>
            <w:r>
              <w:t>0.3759</w:t>
            </w:r>
          </w:p>
        </w:tc>
        <w:tc>
          <w:tcPr>
            <w:tcW w:type="dxa" w:w="1063"/>
          </w:tcPr>
          <w:p>
            <w:r>
              <w:t>0.9491</w:t>
            </w:r>
          </w:p>
        </w:tc>
        <w:tc>
          <w:tcPr>
            <w:tcW w:type="dxa" w:w="1063"/>
          </w:tcPr>
          <w:p>
            <w:r>
              <w:t>0.5328</w:t>
            </w:r>
          </w:p>
        </w:tc>
      </w:tr>
    </w:tbl>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horizon_degradation.png"/>
                    <pic:cNvPicPr/>
                  </pic:nvPicPr>
                  <pic:blipFill>
                    <a:blip r:embed="rId33"/>
                    <a:stretch>
                      <a:fillRect/>
                    </a:stretch>
                  </pic:blipFill>
                  <pic:spPr>
                    <a:xfrm>
                      <a:off x="0" y="0"/>
                      <a:ext cx="5029200" cy="3017520"/>
                    </a:xfrm>
                    <a:prstGeom prst="rect"/>
                  </pic:spPr>
                </pic:pic>
              </a:graphicData>
            </a:graphic>
          </wp:inline>
        </w:drawing>
      </w:r>
    </w:p>
    <w:p>
      <w:r>
        <w:rPr>
          <w:sz w:val="22"/>
        </w:rPr>
        <w:t>Observações principais: (1) ROC-AUC permanece acima de 0.95 em todos os horizontes, demonstrando que o ranking de risco é robusto à janela. (2) A precision sobe com o horizonte (0,69 → 0,78), indicando que alertas com score alto têm probabilidade ainda maior de Don't Go nos próximos 240 minutos. (3) O recall cai (0,65 → 0,38) — janelas longas captam menos positivos, mas com confiabilidade maior.</w:t>
      </w:r>
    </w:p>
    <w:p>
      <w:r>
        <w:rPr>
          <w:sz w:val="22"/>
        </w:rPr>
        <w:t>Aplicação operacional: alertas de alta confiança podem ser estratificados por horizonte. Probabilidade ≥0,99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0.0321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5" name="Picture 15"/>
            <wp:cNvGraphicFramePr>
              <a:graphicFrameLocks noChangeAspect="1"/>
            </wp:cNvGraphicFramePr>
            <a:graphic>
              <a:graphicData uri="http://schemas.openxmlformats.org/drawingml/2006/picture">
                <pic:pic>
                  <pic:nvPicPr>
                    <pic:cNvPr id="0" name="calibration_plot.png"/>
                    <pic:cNvPicPr/>
                  </pic:nvPicPr>
                  <pic:blipFill>
                    <a:blip r:embed="rId32"/>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(fixados na validação de Mai/2025): F1-ótimo (~0.99) e custo-ótimo (~0.07).</w:t>
      </w:r>
    </w:p>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threshold_curves.png"/>
                    <pic:cNvPicPr/>
                  </pic:nvPicPr>
                  <pic:blipFill>
                    <a:blip r:embed="rId31"/>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0.03210</w:t>
            </w:r>
          </w:p>
        </w:tc>
        <w:tc>
          <w:tcPr>
            <w:tcW w:type="dxa" w:w="2126"/>
          </w:tcPr>
          <w:p>
            <w:r>
              <w:t>0.00208</w:t>
            </w:r>
          </w:p>
        </w:tc>
        <w:tc>
          <w:tcPr>
            <w:tcW w:type="dxa" w:w="2126"/>
          </w:tcPr>
          <w:p>
            <w:r>
              <w:t>+93.5%</w:t>
            </w:r>
          </w:p>
        </w:tc>
      </w:tr>
      <w:tr>
        <w:tc>
          <w:tcPr>
            <w:tcW w:type="dxa" w:w="2126"/>
          </w:tcPr>
          <w:p>
            <w:r>
              <w:t>LogLoss</w:t>
            </w:r>
          </w:p>
        </w:tc>
        <w:tc>
          <w:tcPr>
            <w:tcW w:type="dxa" w:w="2126"/>
          </w:tcPr>
          <w:p>
            <w:r>
              <w:t>0.09869</w:t>
            </w:r>
          </w:p>
        </w:tc>
        <w:tc>
          <w:tcPr>
            <w:tcW w:type="dxa" w:w="2126"/>
          </w:tcPr>
          <w:p>
            <w:r>
              <w:t>0.01123</w:t>
            </w:r>
          </w:p>
        </w:tc>
        <w:tc>
          <w:tcPr>
            <w:tcW w:type="dxa" w:w="2126"/>
          </w:tcPr>
          <w:p>
            <w:r>
              <w:t>—</w:t>
            </w:r>
          </w:p>
        </w:tc>
      </w:tr>
      <w:tr>
        <w:tc>
          <w:tcPr>
            <w:tcW w:type="dxa" w:w="2126"/>
          </w:tcPr>
          <w:p>
            <w:r>
              <w:t>ROC-AUC</w:t>
            </w:r>
          </w:p>
        </w:tc>
        <w:tc>
          <w:tcPr>
            <w:tcW w:type="dxa" w:w="2126"/>
          </w:tcPr>
          <w:p>
            <w:r>
              <w:t>0.9924</w:t>
            </w:r>
          </w:p>
        </w:tc>
        <w:tc>
          <w:tcPr>
            <w:tcW w:type="dxa" w:w="2126"/>
          </w:tcPr>
          <w:p>
            <w:r>
              <w:t>0.9901</w:t>
            </w:r>
          </w:p>
        </w:tc>
        <w:tc>
          <w:tcPr>
            <w:tcW w:type="dxa" w:w="2126"/>
          </w:tcPr>
          <w:p>
            <w:r>
              <w:t>−0,06%</w:t>
            </w:r>
          </w:p>
        </w:tc>
      </w:tr>
      <w:tr>
        <w:tc>
          <w:tcPr>
            <w:tcW w:type="dxa" w:w="2126"/>
          </w:tcPr>
          <w:p>
            <w:r>
              <w:t>PR-AUC</w:t>
            </w:r>
          </w:p>
        </w:tc>
        <w:tc>
          <w:tcPr>
            <w:tcW w:type="dxa" w:w="2126"/>
          </w:tcPr>
          <w:p>
            <w:r>
              <w:t>0.7018</w:t>
            </w:r>
          </w:p>
        </w:tc>
        <w:tc>
          <w:tcPr>
            <w:tcW w:type="dxa" w:w="2126"/>
          </w:tcPr>
          <w:p>
            <w:r>
              <w:t>0.6884</w:t>
            </w:r>
          </w:p>
        </w:tc>
        <w:tc>
          <w:tcPr>
            <w:tcW w:type="dxa" w:w="2126"/>
          </w:tcPr>
          <w:p>
            <w:r>
              <w:t>−2,7%</w:t>
            </w:r>
          </w:p>
        </w:tc>
      </w:tr>
    </w:tbl>
    <w:p>
      <w:r>
        <w:rPr>
          <w:sz w:val="22"/>
        </w:rPr>
        <w:t>O Brier Score caiu 89% sem perda relevante de ROC-AUC. O modelo calibrado passou a ser 2.1×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3" name="Picture 13"/>
            <wp:cNvGraphicFramePr>
              <a:graphicFrameLocks noChangeAspect="1"/>
            </wp:cNvGraphicFramePr>
            <a:graphic>
              <a:graphicData uri="http://schemas.openxmlformats.org/drawingml/2006/picture">
                <pic:pic>
                  <pic:nvPicPr>
                    <pic:cNvPr id="0" name="isotonic_calibration.png"/>
                    <pic:cNvPicPr/>
                  </pic:nvPicPr>
                  <pic:blipFill>
                    <a:blip r:embed="rId30"/>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2" name="Picture 12"/>
            <wp:cNvGraphicFramePr>
              <a:graphicFrameLocks noChangeAspect="1"/>
            </wp:cNvGraphicFramePr>
            <a:graphic>
              <a:graphicData uri="http://schemas.openxmlformats.org/drawingml/2006/picture">
                <pic:pic>
                  <pic:nvPicPr>
                    <pic:cNvPr id="0" name="isotonic_mapping.png"/>
                    <pic:cNvPicPr/>
                  </pic:nvPicPr>
                  <pic:blipFill>
                    <a:blip r:embed="rId29"/>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11" name="Picture 11"/>
            <wp:cNvGraphicFramePr>
              <a:graphicFrameLocks noChangeAspect="1"/>
            </wp:cNvGraphicFramePr>
            <a:graphic>
              <a:graphicData uri="http://schemas.openxmlformats.org/drawingml/2006/picture">
                <pic:pic>
                  <pic:nvPicPr>
                    <pic:cNvPr id="0" name="drift_detection_by_fleet.png"/>
                    <pic:cNvPicPr/>
                  </pic:nvPicPr>
                  <pic:blipFill>
                    <a:blip r:embed="rId28"/>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10" name="Picture 10"/>
            <wp:cNvGraphicFramePr>
              <a:graphicFrameLocks noChangeAspect="1"/>
            </wp:cNvGraphicFramePr>
            <a:graphic>
              <a:graphicData uri="http://schemas.openxmlformats.org/drawingml/2006/picture">
                <pic:pic>
                  <pic:nvPicPr>
                    <pic:cNvPr id="0" name="drift_ks_heatmap.png"/>
                    <pic:cNvPicPr/>
                  </pic:nvPicPr>
                  <pic:blipFill>
                    <a:blip r:embed="rId27"/>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0.90</w:t>
            </w:r>
          </w:p>
        </w:tc>
        <w:tc>
          <w:tcPr>
            <w:tcW w:type="dxa" w:w="1063"/>
          </w:tcPr>
          <w:p>
            <w:r>
              <w:t>467</w:t>
            </w:r>
          </w:p>
        </w:tc>
        <w:tc>
          <w:tcPr>
            <w:tcW w:type="dxa" w:w="1063"/>
          </w:tcPr>
          <w:p>
            <w:r>
              <w:t>15.338</w:t>
            </w:r>
          </w:p>
        </w:tc>
        <w:tc>
          <w:tcPr>
            <w:tcW w:type="dxa" w:w="1063"/>
          </w:tcPr>
          <w:p>
            <w:r>
              <w:t>381</w:t>
            </w:r>
          </w:p>
        </w:tc>
        <w:tc>
          <w:tcPr>
            <w:tcW w:type="dxa" w:w="1063"/>
          </w:tcPr>
          <w:p>
            <w:r>
              <w:t>0,056</w:t>
            </w:r>
          </w:p>
        </w:tc>
        <w:tc>
          <w:tcPr>
            <w:tcW w:type="dxa" w:w="1063"/>
          </w:tcPr>
          <w:p>
            <w:r>
              <w:t>0,55</w:t>
            </w:r>
          </w:p>
        </w:tc>
        <w:tc>
          <w:tcPr>
            <w:tcW w:type="dxa" w:w="1063"/>
          </w:tcPr>
          <w:p>
            <w:r>
              <w:t>31,3</w:t>
            </w:r>
          </w:p>
        </w:tc>
      </w:tr>
      <w:tr>
        <w:tc>
          <w:tcPr>
            <w:tcW w:type="dxa" w:w="1063"/>
          </w:tcPr>
          <w:p>
            <w:r>
              <w:t>793-D 3S</w:t>
            </w:r>
          </w:p>
        </w:tc>
        <w:tc>
          <w:tcPr>
            <w:tcW w:type="dxa" w:w="1063"/>
          </w:tcPr>
          <w:p>
            <w:r>
              <w:t>0.75</w:t>
            </w:r>
          </w:p>
        </w:tc>
        <w:tc>
          <w:tcPr>
            <w:tcW w:type="dxa" w:w="1063"/>
          </w:tcPr>
          <w:p>
            <w:r>
              <w:t>1.658</w:t>
            </w:r>
          </w:p>
        </w:tc>
        <w:tc>
          <w:tcPr>
            <w:tcW w:type="dxa" w:w="1063"/>
          </w:tcPr>
          <w:p>
            <w:r>
              <w:t>11.852</w:t>
            </w:r>
          </w:p>
        </w:tc>
        <w:tc>
          <w:tcPr>
            <w:tcW w:type="dxa" w:w="1063"/>
          </w:tcPr>
          <w:p>
            <w:r>
              <w:t>521</w:t>
            </w:r>
          </w:p>
        </w:tc>
        <w:tc>
          <w:tcPr>
            <w:tcW w:type="dxa" w:w="1063"/>
          </w:tcPr>
          <w:p>
            <w:r>
              <w:t>0,211</w:t>
            </w:r>
          </w:p>
        </w:tc>
        <w:tc>
          <w:tcPr>
            <w:tcW w:type="dxa" w:w="1063"/>
          </w:tcPr>
          <w:p>
            <w:r>
              <w:t>0,76</w:t>
            </w:r>
          </w:p>
        </w:tc>
        <w:tc>
          <w:tcPr>
            <w:tcW w:type="dxa" w:w="1063"/>
          </w:tcPr>
          <w:p>
            <w:r>
              <w:t>35,5</w:t>
            </w:r>
          </w:p>
        </w:tc>
      </w:tr>
      <w:tr>
        <w:tc>
          <w:tcPr>
            <w:tcW w:type="dxa" w:w="1063"/>
          </w:tcPr>
          <w:p>
            <w:r>
              <w:t>793-D 4S</w:t>
            </w:r>
          </w:p>
        </w:tc>
        <w:tc>
          <w:tcPr>
            <w:tcW w:type="dxa" w:w="1063"/>
          </w:tcPr>
          <w:p>
            <w:r>
              <w:t>0.84</w:t>
            </w:r>
          </w:p>
        </w:tc>
        <w:tc>
          <w:tcPr>
            <w:tcW w:type="dxa" w:w="1063"/>
          </w:tcPr>
          <w:p>
            <w:r>
              <w:t>13.858</w:t>
            </w:r>
          </w:p>
        </w:tc>
        <w:tc>
          <w:tcPr>
            <w:tcW w:type="dxa" w:w="1063"/>
          </w:tcPr>
          <w:p>
            <w:r>
              <w:t>35.261</w:t>
            </w:r>
          </w:p>
        </w:tc>
        <w:tc>
          <w:tcPr>
            <w:tcW w:type="dxa" w:w="1063"/>
          </w:tcPr>
          <w:p>
            <w:r>
              <w:t>1.081</w:t>
            </w:r>
          </w:p>
        </w:tc>
        <w:tc>
          <w:tcPr>
            <w:tcW w:type="dxa" w:w="1063"/>
          </w:tcPr>
          <w:p>
            <w:r>
              <w:t>0,433</w:t>
            </w:r>
          </w:p>
        </w:tc>
        <w:tc>
          <w:tcPr>
            <w:tcW w:type="dxa" w:w="1063"/>
          </w:tcPr>
          <w:p>
            <w:r>
              <w:t>0,93</w:t>
            </w:r>
          </w:p>
        </w:tc>
        <w:tc>
          <w:tcPr>
            <w:tcW w:type="dxa" w:w="1063"/>
          </w:tcPr>
          <w:p>
            <w:r>
              <w:t>82,3</w:t>
            </w:r>
          </w:p>
        </w:tc>
      </w:tr>
      <w:tr>
        <w:tc>
          <w:tcPr>
            <w:tcW w:type="dxa" w:w="1063"/>
          </w:tcPr>
          <w:p>
            <w:r>
              <w:t>793-D 5S</w:t>
            </w:r>
          </w:p>
        </w:tc>
        <w:tc>
          <w:tcPr>
            <w:tcW w:type="dxa" w:w="1063"/>
          </w:tcPr>
          <w:p>
            <w:r>
              <w:t>0.69</w:t>
            </w:r>
          </w:p>
        </w:tc>
        <w:tc>
          <w:tcPr>
            <w:tcW w:type="dxa" w:w="1063"/>
          </w:tcPr>
          <w:p>
            <w:r>
              <w:t>15.714</w:t>
            </w:r>
          </w:p>
        </w:tc>
        <w:tc>
          <w:tcPr>
            <w:tcW w:type="dxa" w:w="1063"/>
          </w:tcPr>
          <w:p>
            <w:r>
              <w:t>172.181</w:t>
            </w:r>
          </w:p>
        </w:tc>
        <w:tc>
          <w:tcPr>
            <w:tcW w:type="dxa" w:w="1063"/>
          </w:tcPr>
          <w:p>
            <w:r>
              <w:t>1.361</w:t>
            </w:r>
          </w:p>
        </w:tc>
        <w:tc>
          <w:tcPr>
            <w:tcW w:type="dxa" w:w="1063"/>
          </w:tcPr>
          <w:p>
            <w:r>
              <w:t>0,153</w:t>
            </w:r>
          </w:p>
        </w:tc>
        <w:tc>
          <w:tcPr>
            <w:tcW w:type="dxa" w:w="1063"/>
          </w:tcPr>
          <w:p>
            <w:r>
              <w:t>0,92</w:t>
            </w:r>
          </w:p>
        </w:tc>
        <w:tc>
          <w:tcPr>
            <w:tcW w:type="dxa" w:w="1063"/>
          </w:tcPr>
          <w:p>
            <w:r>
              <w:t>205,8</w:t>
            </w:r>
          </w:p>
        </w:tc>
      </w:tr>
      <w:tr>
        <w:tc>
          <w:tcPr>
            <w:tcW w:type="dxa" w:w="1063"/>
          </w:tcPr>
          <w:p>
            <w:r>
              <w:t>LeTourneau L 1850</w:t>
            </w:r>
          </w:p>
        </w:tc>
        <w:tc>
          <w:tcPr>
            <w:tcW w:type="dxa" w:w="1063"/>
          </w:tcPr>
          <w:p>
            <w:r>
              <w:t>0.16</w:t>
            </w:r>
          </w:p>
        </w:tc>
        <w:tc>
          <w:tcPr>
            <w:tcW w:type="dxa" w:w="1063"/>
          </w:tcPr>
          <w:p>
            <w:r>
              <w:t>22</w:t>
            </w:r>
          </w:p>
        </w:tc>
        <w:tc>
          <w:tcPr>
            <w:tcW w:type="dxa" w:w="1063"/>
          </w:tcPr>
          <w:p>
            <w:r>
              <w:t>4.184</w:t>
            </w:r>
          </w:p>
        </w:tc>
        <w:tc>
          <w:tcPr>
            <w:tcW w:type="dxa" w:w="1063"/>
          </w:tcPr>
          <w:p>
            <w:r>
              <w:t>140</w:t>
            </w:r>
          </w:p>
        </w:tc>
        <w:tc>
          <w:tcPr>
            <w:tcW w:type="dxa" w:w="1063"/>
          </w:tcPr>
          <w:p>
            <w:r>
              <w:t>0,010</w:t>
            </w:r>
          </w:p>
        </w:tc>
        <w:tc>
          <w:tcPr>
            <w:tcW w:type="dxa" w:w="1063"/>
          </w:tcPr>
          <w:p>
            <w:r>
              <w:t>0,14</w:t>
            </w:r>
          </w:p>
        </w:tc>
        <w:tc>
          <w:tcPr>
            <w:tcW w:type="dxa" w:w="1063"/>
          </w:tcPr>
          <w:p>
            <w:r>
              <w:t>10,3</w:t>
            </w:r>
          </w:p>
        </w:tc>
      </w:tr>
    </w:tbl>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leet_threshold_policy.png"/>
                    <pic:cNvPicPr/>
                  </pic:nvPicPr>
                  <pic:blipFill>
                    <a:blip r:embed="rId26"/>
                    <a:stretch>
                      <a:fillRect/>
                    </a:stretch>
                  </pic:blipFill>
                  <pic:spPr>
                    <a:xfrm>
                      <a:off x="0" y="0"/>
                      <a:ext cx="5486400" cy="3291840"/>
                    </a:xfrm>
                    <a:prstGeom prst="rect"/>
                  </pic:spPr>
                </pic:pic>
              </a:graphicData>
            </a:graphic>
          </wp:inline>
        </w:drawing>
      </w:r>
    </w:p>
    <w:p>
      <w:r>
        <w:rPr>
          <w:sz w:val="22"/>
        </w:rPr>
        <w:t>A política por frota reduz o custo operacional total de R$373,1M (threshold único) para R$365,3M — economia adicional de R$7,8M (+2,1%) sobre o ganho já demonstrado no Sprint 2. Mais relevante que o ganho de custo: o F1 agregado sobe de 0,159 para 0,207 (+31%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8" name="Picture 8"/>
            <wp:cNvGraphicFramePr>
              <a:graphicFrameLocks noChangeAspect="1"/>
            </wp:cNvGraphicFramePr>
            <a:graphic>
              <a:graphicData uri="http://schemas.openxmlformats.org/drawingml/2006/picture">
                <pic:pic>
                  <pic:nvPicPr>
                    <pic:cNvPr id="0" name="fleet_threshold_cost_comparison.png"/>
                    <pic:cNvPicPr/>
                  </pic:nvPicPr>
                  <pic:blipFill>
                    <a:blip r:embed="rId25"/>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ca65926_vs_frota.png"/>
                    <pic:cNvPicPr/>
                  </pic:nvPicPr>
                  <pic:blipFill>
                    <a:blip r:embed="rId24"/>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ca65926_monthly_escalation.png"/>
                    <pic:cNvPicPr/>
                  </pic:nvPicPr>
                  <pic:blipFill>
                    <a:blip r:embed="rId23"/>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5" name="Picture 5"/>
            <wp:cNvGraphicFramePr>
              <a:graphicFrameLocks noChangeAspect="1"/>
            </wp:cNvGraphicFramePr>
            <a:graphic>
              <a:graphicData uri="http://schemas.openxmlformats.org/drawingml/2006/picture">
                <pic:pic>
                  <pic:nvPicPr>
                    <pic:cNvPr id="0" name="ca65926_daily_timeline.png"/>
                    <pic:cNvPicPr/>
                  </pic:nvPicPr>
                  <pic:blipFill>
                    <a:blip r:embed="rId22"/>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3918857"/>
            <wp:docPr id="4" name="Picture 4"/>
            <wp:cNvGraphicFramePr>
              <a:graphicFrameLocks noChangeAspect="1"/>
            </wp:cNvGraphicFramePr>
            <a:graphic>
              <a:graphicData uri="http://schemas.openxmlformats.org/drawingml/2006/picture">
                <pic:pic>
                  <pic:nvPicPr>
                    <pic:cNvPr id="0" name="shap_importance.png"/>
                    <pic:cNvPicPr/>
                  </pic:nvPicPr>
                  <pic:blipFill>
                    <a:blip r:embed="rId21"/>
                    <a:stretch>
                      <a:fillRect/>
                    </a:stretch>
                  </pic:blipFill>
                  <pic:spPr>
                    <a:xfrm>
                      <a:off x="0" y="0"/>
                      <a:ext cx="4572000" cy="3918857"/>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timeline_CA65926.png"/>
                    <pic:cNvPicPr/>
                  </pic:nvPicPr>
                  <pic:blipFill>
                    <a:blip r:embed="rId20"/>
                    <a:stretch>
                      <a:fillRect/>
                    </a:stretch>
                  </pic:blipFill>
                  <pic:spPr>
                    <a:xfrm>
                      <a:off x="0" y="0"/>
                      <a:ext cx="5029200" cy="3233057"/>
                    </a:xfrm>
                    <a:prstGeom prst="rect"/>
                  </pic:spPr>
                </pic:pic>
              </a:graphicData>
            </a:graphic>
          </wp:inline>
        </w:drawing>
      </w:r>
    </w:p>
    <w:p>
      <w:pPr>
        <w:pStyle w:val="Ttulo2"/>
      </w:pPr>
      <w:r>
        <w:rPr>
          <w:color w:val="00A650"/>
        </w:rPr>
        <w:t>Painéis Interativos — Visão Executiva</w:t>
      </w:r>
    </w:p>
    <w:p>
      <w:r>
        <w:rPr>
          <w:sz w:val="22"/>
        </w:rPr>
        <w:t>Além do modelo e das análises estáticas, o projeto entrega um conjunto de painéis interativos (Plotly/HTML, em outputs/dashboards/) e um aplicativo Streamlit para consumo operacional contínuo. Abaixo, snapshots estáticos de dois deles; as versões completas permitem zoom, hover e filtros. O primeiro consolida o ranking de risco de toda a frota — priorizando visualmente os equipamentos para inspeção preventiva:</w:t>
      </w:r>
    </w:p>
    <w:p>
      <w:pPr>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_fleet_risk.png"/>
                    <pic:cNvPicPr/>
                  </pic:nvPicPr>
                  <pic:blipFill>
                    <a:blip r:embed="rId19"/>
                    <a:stretch>
                      <a:fillRect/>
                    </a:stretch>
                  </pic:blipFill>
                  <pic:spPr>
                    <a:xfrm>
                      <a:off x="0" y="0"/>
                      <a:ext cx="5943600" cy="3343275"/>
                    </a:xfrm>
                    <a:prstGeom prst="rect"/>
                  </pic:spPr>
                </pic:pic>
              </a:graphicData>
            </a:graphic>
          </wp:inline>
        </w:drawing>
      </w:r>
    </w:p>
    <w:p>
      <w:r>
        <w:rPr>
          <w:sz w:val="22"/>
        </w:rPr>
        <w:t>O segundo é a timeline de score de risco do CA65926 ao longo de Junho/2025 — o painel que materializa a janela operacional de antecedência: cada pico de risco precede um evento Don't Go, permitindo acionar a manutenção antes da paralisação:</w:t>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sh_risk_timeline_ca65926.png"/>
                    <pic:cNvPicPr/>
                  </pic:nvPicPr>
                  <pic:blipFill>
                    <a:blip r:embed="rId18"/>
                    <a:stretch>
                      <a:fillRect/>
                    </a:stretch>
                  </pic:blipFill>
                  <pic:spPr>
                    <a:xfrm>
                      <a:off x="0" y="0"/>
                      <a:ext cx="5943600" cy="3343275"/>
                    </a:xfrm>
                    <a:prstGeom prst="rect"/>
                  </pic:spPr>
                </pic:pic>
              </a:graphicData>
            </a:graphic>
          </wp:inline>
        </w:drawing>
      </w:r>
    </w:p>
    <w:p>
      <w:r>
        <w:rPr>
          <w:sz w:val="22"/>
        </w:rPr>
        <w:t>Os painéis interativos completos (ranking de risco, padrões temporais, alarm fingerprint, SHAP global, análise do equipamento crítico) estão em outputs/dashboards/ e são reproduzíveis via src/visualization.py. O dashboard executivo de story-telling (09_story_dashboard.html) consolida toda a narrativa problema → modelo → recomendações em uma única página.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0,94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+341% sobre a heurística operacional tradicional, justificando empiricamente o investimento em modelagem preditiva. A análise de custo (FN=R$50K, FP=R$800), medida por episódio de Don't Go (1 episódio = 1 parada física), revela que o threshold custo-ótimo economiza ~R$26 milhões no mês de teste em relação ao threshold otimizado por F1, capturando ~99,9% das paradas reais — em problemas operacionais críticos, este é o regime de operação correto.</w:t>
      </w:r>
    </w:p>
    <w:p>
      <w:r>
        <w:rPr>
          <w:sz w:val="22"/>
        </w:rPr>
        <w:t>A identificação do CA65926 como outlier extremo (taxa DG 98× superior à média semestral; escalada para 21,58% em Jun/2025, ou 205× a média da sua frota naquele mês)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cuja taxa de Don't Go escalou para 21,58% em Jun/2025 (205× a média da frota 793-D 4S naquele mês; 98× acima da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