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25" name="Picture 25"/>
            <wp:cNvGraphicFramePr>
              <a:graphicFrameLocks noChangeAspect="1"/>
            </wp:cNvGraphicFramePr>
            <a:graphic>
              <a:graphicData uri="http://schemas.openxmlformats.org/drawingml/2006/picture">
                <pic:pic>
                  <pic:nvPicPr>
                    <pic:cNvPr id="0" name="roc_curve.png"/>
                    <pic:cNvPicPr/>
                  </pic:nvPicPr>
                  <pic:blipFill>
                    <a:blip r:embed="rId42"/>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24" name="Picture 2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comparison_f1_bar.png"/>
                    <pic:cNvPicPr/>
                  </pic:nvPicPr>
                  <pic:blipFill>
                    <a:blip r:embed="rId40"/>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2" name="Picture 22"/>
            <wp:cNvGraphicFramePr>
              <a:graphicFrameLocks noChangeAspect="1"/>
            </wp:cNvGraphicFramePr>
            <a:graphic>
              <a:graphicData uri="http://schemas.openxmlformats.org/drawingml/2006/picture">
                <pic:pic>
                  <pic:nvPicPr>
                    <pic:cNvPr id="0" name="comparison_pr_curves.png"/>
                    <pic:cNvPicPr/>
                  </pic:nvPicPr>
                  <pic:blipFill>
                    <a:blip r:embed="rId39"/>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0,6876</w:t>
            </w:r>
          </w:p>
        </w:tc>
        <w:tc>
          <w:tcPr>
            <w:tcW w:type="dxa" w:w="1417"/>
          </w:tcPr>
          <w:p>
            <w:r>
              <w:t>0,7556</w:t>
            </w:r>
          </w:p>
        </w:tc>
        <w:tc>
          <w:tcPr>
            <w:tcW w:type="dxa" w:w="1417"/>
          </w:tcPr>
          <w:p>
            <w:r>
              <w:t>0,6309</w:t>
            </w:r>
          </w:p>
        </w:tc>
        <w:tc>
          <w:tcPr>
            <w:tcW w:type="dxa" w:w="1417"/>
          </w:tcPr>
          <w:p>
            <w:r>
              <w:t>0,9923</w:t>
            </w:r>
          </w:p>
        </w:tc>
        <w:tc>
          <w:tcPr>
            <w:tcW w:type="dxa" w:w="1417"/>
          </w:tcPr>
          <w:p>
            <w:r>
              <w:t>0,6739</w:t>
            </w:r>
          </w:p>
        </w:tc>
      </w:tr>
      <w:tr>
        <w:tc>
          <w:tcPr>
            <w:tcW w:type="dxa" w:w="1417"/>
          </w:tcPr>
          <w:p>
            <w:r>
              <w:t>RandomForest</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Soft-voting</w:t>
            </w:r>
          </w:p>
        </w:tc>
        <w:tc>
          <w:tcPr>
            <w:tcW w:type="dxa" w:w="1417"/>
          </w:tcPr>
          <w:p>
            <w:r>
              <w:t>0,6768</w:t>
            </w:r>
          </w:p>
        </w:tc>
        <w:tc>
          <w:tcPr>
            <w:tcW w:type="dxa" w:w="1417"/>
          </w:tcPr>
          <w:p>
            <w:r>
              <w:t>0,7417</w:t>
            </w:r>
          </w:p>
        </w:tc>
        <w:tc>
          <w:tcPr>
            <w:tcW w:type="dxa" w:w="1417"/>
          </w:tcPr>
          <w:p>
            <w:r>
              <w:t>0,6224</w:t>
            </w:r>
          </w:p>
        </w:tc>
        <w:tc>
          <w:tcPr>
            <w:tcW w:type="dxa" w:w="1417"/>
          </w:tcPr>
          <w:p>
            <w:r>
              <w:t>0,9935</w:t>
            </w:r>
          </w:p>
        </w:tc>
        <w:tc>
          <w:tcPr>
            <w:tcW w:type="dxa" w:w="1417"/>
          </w:tcPr>
          <w:p>
            <w:r>
              <w:t>0,7124</w:t>
            </w:r>
          </w:p>
        </w:tc>
      </w:tr>
      <w:tr>
        <w:tc>
          <w:tcPr>
            <w:tcW w:type="dxa" w:w="1417"/>
          </w:tcPr>
          <w:p>
            <w:r>
              <w:t>Média ponderada</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Stacking</w:t>
            </w:r>
          </w:p>
        </w:tc>
        <w:tc>
          <w:tcPr>
            <w:tcW w:type="dxa" w:w="1417"/>
          </w:tcPr>
          <w:p>
            <w:r>
              <w:t>0,6769</w:t>
            </w:r>
          </w:p>
        </w:tc>
        <w:tc>
          <w:tcPr>
            <w:tcW w:type="dxa" w:w="1417"/>
          </w:tcPr>
          <w:p>
            <w:r>
              <w:t>0,7420</w:t>
            </w:r>
          </w:p>
        </w:tc>
        <w:tc>
          <w:tcPr>
            <w:tcW w:type="dxa" w:w="1417"/>
          </w:tcPr>
          <w:p>
            <w:r>
              <w:t>0,6222</w:t>
            </w:r>
          </w:p>
        </w:tc>
        <w:tc>
          <w:tcPr>
            <w:tcW w:type="dxa" w:w="1417"/>
          </w:tcPr>
          <w:p>
            <w:r>
              <w:t>0,9936</w:t>
            </w:r>
          </w:p>
        </w:tc>
        <w:tc>
          <w:tcPr>
            <w:tcW w:type="dxa" w:w="1417"/>
          </w:tcPr>
          <w:p>
            <w:r>
              <w:t>0,7130</w:t>
            </w:r>
          </w:p>
        </w:tc>
      </w:tr>
    </w:tbl>
    <w:p>
      <w:pPr>
        <w:jc w:val="center"/>
      </w:pPr>
      <w:r>
        <w:drawing>
          <wp:inline xmlns:a="http://schemas.openxmlformats.org/drawingml/2006/main" xmlns:pic="http://schemas.openxmlformats.org/drawingml/2006/picture">
            <wp:extent cx="5029200" cy="2766060"/>
            <wp:docPr id="21" name="Picture 21"/>
            <wp:cNvGraphicFramePr>
              <a:graphicFrameLocks noChangeAspect="1"/>
            </wp:cNvGraphicFramePr>
            <a:graphic>
              <a:graphicData uri="http://schemas.openxmlformats.org/drawingml/2006/picture">
                <pic:pic>
                  <pic:nvPicPr>
                    <pic:cNvPr id="0" name="ensemble_f1_comparison.png"/>
                    <pic:cNvPicPr/>
                  </pic:nvPicPr>
                  <pic:blipFill>
                    <a:blip r:embed="rId38"/>
                    <a:stretch>
                      <a:fillRect/>
                    </a:stretch>
                  </pic:blipFill>
                  <pic:spPr>
                    <a:xfrm>
                      <a:off x="0" y="0"/>
                      <a:ext cx="5029200" cy="2766060"/>
                    </a:xfrm>
                    <a:prstGeom prst="rect"/>
                  </pic:spPr>
                </pic:pic>
              </a:graphicData>
            </a:graphic>
          </wp:inline>
        </w:drawing>
      </w:r>
    </w:p>
    <w:p>
      <w:r>
        <w:rPr>
          <w:sz w:val="22"/>
        </w:rPr>
        <w:t>O melhor ensemble (Stacking) NÃO superou o melhor modelo-base (LightGBM) de forma relevante (Δ F1 = -0,0107, -1,6%).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54 features.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0" name="Picture 20"/>
            <wp:cNvGraphicFramePr>
              <a:graphicFrameLocks noChangeAspect="1"/>
            </wp:cNvGraphicFramePr>
            <a:graphic>
              <a:graphicData uri="http://schemas.openxmlformats.org/drawingml/2006/picture">
                <pic:pic>
                  <pic:nvPicPr>
                    <pic:cNvPr id="0" name="ensemble_pr_curves.png"/>
                    <pic:cNvPicPr/>
                  </pic:nvPicPr>
                  <pic:blipFill>
                    <a:blip r:embed="rId37"/>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19" name="Picture 19"/>
            <wp:cNvGraphicFramePr>
              <a:graphicFrameLocks noChangeAspect="1"/>
            </wp:cNvGraphicFramePr>
            <a:graphic>
              <a:graphicData uri="http://schemas.openxmlformats.org/drawingml/2006/picture">
                <pic:pic>
                  <pic:nvPicPr>
                    <pic:cNvPr id="0" name="cost_vs_threshold.png"/>
                    <pic:cNvPicPr/>
                  </pic:nvPicPr>
                  <pic:blipFill>
                    <a:blip r:embed="rId36"/>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18" name="Picture 18"/>
            <wp:cNvGraphicFramePr>
              <a:graphicFrameLocks noChangeAspect="1"/>
            </wp:cNvGraphicFramePr>
            <a:graphic>
              <a:graphicData uri="http://schemas.openxmlformats.org/drawingml/2006/picture">
                <pic:pic>
                  <pic:nvPicPr>
                    <pic:cNvPr id="0" name="f1_by_fleet.png"/>
                    <pic:cNvPicPr/>
                  </pic:nvPicPr>
                  <pic:blipFill>
                    <a:blip r:embed="rId35"/>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17" name="Picture 17"/>
            <wp:cNvGraphicFramePr>
              <a:graphicFrameLocks noChangeAspect="1"/>
            </wp:cNvGraphicFramePr>
            <a:graphic>
              <a:graphicData uri="http://schemas.openxmlformats.org/drawingml/2006/picture">
                <pic:pic>
                  <pic:nvPicPr>
                    <pic:cNvPr id="0" name="f1_by_equipment_scatter.png"/>
                    <pic:cNvPicPr/>
                  </pic:nvPicPr>
                  <pic:blipFill>
                    <a:blip r:embed="rId34"/>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16" name="Picture 16"/>
            <wp:cNvGraphicFramePr>
              <a:graphicFrameLocks noChangeAspect="1"/>
            </wp:cNvGraphicFramePr>
            <a:graphic>
              <a:graphicData uri="http://schemas.openxmlformats.org/drawingml/2006/picture">
                <pic:pic>
                  <pic:nvPicPr>
                    <pic:cNvPr id="0" name="escavadeira_fingerprint_lift.png"/>
                    <pic:cNvPicPr/>
                  </pic:nvPicPr>
                  <pic:blipFill>
                    <a:blip r:embed="rId33"/>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5" name="Picture 15"/>
            <wp:cNvGraphicFramePr>
              <a:graphicFrameLocks noChangeAspect="1"/>
            </wp:cNvGraphicFramePr>
            <a:graphic>
              <a:graphicData uri="http://schemas.openxmlformats.org/drawingml/2006/picture">
                <pic:pic>
                  <pic:nvPicPr>
                    <pic:cNvPr id="0" name="escavadeira_vs_caminhao_fingerprint.png"/>
                    <pic:cNvPicPr/>
                  </pic:nvPicPr>
                  <pic:blipFill>
                    <a:blip r:embed="rId32"/>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horizon_degradation.png"/>
                    <pic:cNvPicPr/>
                  </pic:nvPicPr>
                  <pic:blipFill>
                    <a:blip r:embed="rId31"/>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3" name="Picture 13"/>
            <wp:cNvGraphicFramePr>
              <a:graphicFrameLocks noChangeAspect="1"/>
            </wp:cNvGraphicFramePr>
            <a:graphic>
              <a:graphicData uri="http://schemas.openxmlformats.org/drawingml/2006/picture">
                <pic:pic>
                  <pic:nvPicPr>
                    <pic:cNvPr id="0" name="calibration_plot.png"/>
                    <pic:cNvPicPr/>
                  </pic:nvPicPr>
                  <pic:blipFill>
                    <a:blip r:embed="rId30"/>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threshold_curves.png"/>
                    <pic:cNvPicPr/>
                  </pic:nvPicPr>
                  <pic:blipFill>
                    <a:blip r:embed="rId29"/>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1" name="Picture 11"/>
            <wp:cNvGraphicFramePr>
              <a:graphicFrameLocks noChangeAspect="1"/>
            </wp:cNvGraphicFramePr>
            <a:graphic>
              <a:graphicData uri="http://schemas.openxmlformats.org/drawingml/2006/picture">
                <pic:pic>
                  <pic:nvPicPr>
                    <pic:cNvPr id="0" name="isotonic_calibration.png"/>
                    <pic:cNvPicPr/>
                  </pic:nvPicPr>
                  <pic:blipFill>
                    <a:blip r:embed="rId28"/>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0" name="Picture 10"/>
            <wp:cNvGraphicFramePr>
              <a:graphicFrameLocks noChangeAspect="1"/>
            </wp:cNvGraphicFramePr>
            <a:graphic>
              <a:graphicData uri="http://schemas.openxmlformats.org/drawingml/2006/picture">
                <pic:pic>
                  <pic:nvPicPr>
                    <pic:cNvPr id="0" name="isotonic_mapping.png"/>
                    <pic:cNvPicPr/>
                  </pic:nvPicPr>
                  <pic:blipFill>
                    <a:blip r:embed="rId27"/>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9" name="Picture 9"/>
            <wp:cNvGraphicFramePr>
              <a:graphicFrameLocks noChangeAspect="1"/>
            </wp:cNvGraphicFramePr>
            <a:graphic>
              <a:graphicData uri="http://schemas.openxmlformats.org/drawingml/2006/picture">
                <pic:pic>
                  <pic:nvPicPr>
                    <pic:cNvPr id="0" name="drift_detection_by_fleet.png"/>
                    <pic:cNvPicPr/>
                  </pic:nvPicPr>
                  <pic:blipFill>
                    <a:blip r:embed="rId26"/>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8" name="Picture 8"/>
            <wp:cNvGraphicFramePr>
              <a:graphicFrameLocks noChangeAspect="1"/>
            </wp:cNvGraphicFramePr>
            <a:graphic>
              <a:graphicData uri="http://schemas.openxmlformats.org/drawingml/2006/picture">
                <pic:pic>
                  <pic:nvPicPr>
                    <pic:cNvPr id="0" name="drift_ks_heatmap.png"/>
                    <pic:cNvPicPr/>
                  </pic:nvPicPr>
                  <pic:blipFill>
                    <a:blip r:embed="rId25"/>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0.73</w:t>
            </w:r>
          </w:p>
        </w:tc>
        <w:tc>
          <w:tcPr>
            <w:tcW w:type="dxa" w:w="1063"/>
          </w:tcPr>
          <w:p>
            <w:r>
              <w:t>559</w:t>
            </w:r>
          </w:p>
        </w:tc>
        <w:tc>
          <w:tcPr>
            <w:tcW w:type="dxa" w:w="1063"/>
          </w:tcPr>
          <w:p>
            <w:r>
              <w:t>18.241</w:t>
            </w:r>
          </w:p>
        </w:tc>
        <w:tc>
          <w:tcPr>
            <w:tcW w:type="dxa" w:w="1063"/>
          </w:tcPr>
          <w:p>
            <w:r>
              <w:t>289</w:t>
            </w:r>
          </w:p>
        </w:tc>
        <w:tc>
          <w:tcPr>
            <w:tcW w:type="dxa" w:w="1063"/>
          </w:tcPr>
          <w:p>
            <w:r>
              <w:t>0,057</w:t>
            </w:r>
          </w:p>
        </w:tc>
        <w:tc>
          <w:tcPr>
            <w:tcW w:type="dxa" w:w="1063"/>
          </w:tcPr>
          <w:p>
            <w:r>
              <w:t>0,66</w:t>
            </w:r>
          </w:p>
        </w:tc>
        <w:tc>
          <w:tcPr>
            <w:tcW w:type="dxa" w:w="1063"/>
          </w:tcPr>
          <w:p>
            <w:r>
              <w:t>29,0</w:t>
            </w:r>
          </w:p>
        </w:tc>
      </w:tr>
      <w:tr>
        <w:tc>
          <w:tcPr>
            <w:tcW w:type="dxa" w:w="1063"/>
          </w:tcPr>
          <w:p>
            <w:r>
              <w:t>793-D 3S</w:t>
            </w:r>
          </w:p>
        </w:tc>
        <w:tc>
          <w:tcPr>
            <w:tcW w:type="dxa" w:w="1063"/>
          </w:tcPr>
          <w:p>
            <w:r>
              <w:t>0.32</w:t>
            </w:r>
          </w:p>
        </w:tc>
        <w:tc>
          <w:tcPr>
            <w:tcW w:type="dxa" w:w="1063"/>
          </w:tcPr>
          <w:p>
            <w:r>
              <w:t>1.961</w:t>
            </w:r>
          </w:p>
        </w:tc>
        <w:tc>
          <w:tcPr>
            <w:tcW w:type="dxa" w:w="1063"/>
          </w:tcPr>
          <w:p>
            <w:r>
              <w:t>15.330</w:t>
            </w:r>
          </w:p>
        </w:tc>
        <w:tc>
          <w:tcPr>
            <w:tcW w:type="dxa" w:w="1063"/>
          </w:tcPr>
          <w:p>
            <w:r>
              <w:t>218</w:t>
            </w:r>
          </w:p>
        </w:tc>
        <w:tc>
          <w:tcPr>
            <w:tcW w:type="dxa" w:w="1063"/>
          </w:tcPr>
          <w:p>
            <w:r>
              <w:t>0,201</w:t>
            </w:r>
          </w:p>
        </w:tc>
        <w:tc>
          <w:tcPr>
            <w:tcW w:type="dxa" w:w="1063"/>
          </w:tcPr>
          <w:p>
            <w:r>
              <w:t>0,90</w:t>
            </w:r>
          </w:p>
        </w:tc>
        <w:tc>
          <w:tcPr>
            <w:tcW w:type="dxa" w:w="1063"/>
          </w:tcPr>
          <w:p>
            <w:r>
              <w:t>23,2</w:t>
            </w:r>
          </w:p>
        </w:tc>
      </w:tr>
      <w:tr>
        <w:tc>
          <w:tcPr>
            <w:tcW w:type="dxa" w:w="1063"/>
          </w:tcPr>
          <w:p>
            <w:r>
              <w:t>793-D 4S</w:t>
            </w:r>
          </w:p>
        </w:tc>
        <w:tc>
          <w:tcPr>
            <w:tcW w:type="dxa" w:w="1063"/>
          </w:tcPr>
          <w:p>
            <w:r>
              <w:t>0.73</w:t>
            </w:r>
          </w:p>
        </w:tc>
        <w:tc>
          <w:tcPr>
            <w:tcW w:type="dxa" w:w="1063"/>
          </w:tcPr>
          <w:p>
            <w:r>
              <w:t>13.782</w:t>
            </w:r>
          </w:p>
        </w:tc>
        <w:tc>
          <w:tcPr>
            <w:tcW w:type="dxa" w:w="1063"/>
          </w:tcPr>
          <w:p>
            <w:r>
              <w:t>25.349</w:t>
            </w:r>
          </w:p>
        </w:tc>
        <w:tc>
          <w:tcPr>
            <w:tcW w:type="dxa" w:w="1063"/>
          </w:tcPr>
          <w:p>
            <w:r>
              <w:t>1.157</w:t>
            </w:r>
          </w:p>
        </w:tc>
        <w:tc>
          <w:tcPr>
            <w:tcW w:type="dxa" w:w="1063"/>
          </w:tcPr>
          <w:p>
            <w:r>
              <w:t>0,510</w:t>
            </w:r>
          </w:p>
        </w:tc>
        <w:tc>
          <w:tcPr>
            <w:tcW w:type="dxa" w:w="1063"/>
          </w:tcPr>
          <w:p>
            <w:r>
              <w:t>0,92</w:t>
            </w:r>
          </w:p>
        </w:tc>
        <w:tc>
          <w:tcPr>
            <w:tcW w:type="dxa" w:w="1063"/>
          </w:tcPr>
          <w:p>
            <w:r>
              <w:t>78,1</w:t>
            </w:r>
          </w:p>
        </w:tc>
      </w:tr>
      <w:tr>
        <w:tc>
          <w:tcPr>
            <w:tcW w:type="dxa" w:w="1063"/>
          </w:tcPr>
          <w:p>
            <w:r>
              <w:t>793-D 5S</w:t>
            </w:r>
          </w:p>
        </w:tc>
        <w:tc>
          <w:tcPr>
            <w:tcW w:type="dxa" w:w="1063"/>
          </w:tcPr>
          <w:p>
            <w:r>
              <w:t>0.59</w:t>
            </w:r>
          </w:p>
        </w:tc>
        <w:tc>
          <w:tcPr>
            <w:tcW w:type="dxa" w:w="1063"/>
          </w:tcPr>
          <w:p>
            <w:r>
              <w:t>14.937</w:t>
            </w:r>
          </w:p>
        </w:tc>
        <w:tc>
          <w:tcPr>
            <w:tcW w:type="dxa" w:w="1063"/>
          </w:tcPr>
          <w:p>
            <w:r>
              <w:t>116.000</w:t>
            </w:r>
          </w:p>
        </w:tc>
        <w:tc>
          <w:tcPr>
            <w:tcW w:type="dxa" w:w="1063"/>
          </w:tcPr>
          <w:p>
            <w:r>
              <w:t>2.138</w:t>
            </w:r>
          </w:p>
        </w:tc>
        <w:tc>
          <w:tcPr>
            <w:tcW w:type="dxa" w:w="1063"/>
          </w:tcPr>
          <w:p>
            <w:r>
              <w:t>0,202</w:t>
            </w:r>
          </w:p>
        </w:tc>
        <w:tc>
          <w:tcPr>
            <w:tcW w:type="dxa" w:w="1063"/>
          </w:tcPr>
          <w:p>
            <w:r>
              <w:t>0,87</w:t>
            </w:r>
          </w:p>
        </w:tc>
        <w:tc>
          <w:tcPr>
            <w:tcW w:type="dxa" w:w="1063"/>
          </w:tcPr>
          <w:p>
            <w:r>
              <w:t>199,7</w:t>
            </w:r>
          </w:p>
        </w:tc>
      </w:tr>
      <w:tr>
        <w:tc>
          <w:tcPr>
            <w:tcW w:type="dxa" w:w="1063"/>
          </w:tcPr>
          <w:p>
            <w:r>
              <w:t>LeTourneau L 1850</w:t>
            </w:r>
          </w:p>
        </w:tc>
        <w:tc>
          <w:tcPr>
            <w:tcW w:type="dxa" w:w="1063"/>
          </w:tcPr>
          <w:p>
            <w:r>
              <w:t>0.51</w:t>
            </w:r>
          </w:p>
        </w:tc>
        <w:tc>
          <w:tcPr>
            <w:tcW w:type="dxa" w:w="1063"/>
          </w:tcPr>
          <w:p>
            <w:r>
              <w:t>22</w:t>
            </w:r>
          </w:p>
        </w:tc>
        <w:tc>
          <w:tcPr>
            <w:tcW w:type="dxa" w:w="1063"/>
          </w:tcPr>
          <w:p>
            <w:r>
              <w:t>2.683</w:t>
            </w:r>
          </w:p>
        </w:tc>
        <w:tc>
          <w:tcPr>
            <w:tcW w:type="dxa" w:w="1063"/>
          </w:tcPr>
          <w:p>
            <w:r>
              <w:t>140</w:t>
            </w:r>
          </w:p>
        </w:tc>
        <w:tc>
          <w:tcPr>
            <w:tcW w:type="dxa" w:w="1063"/>
          </w:tcPr>
          <w:p>
            <w:r>
              <w:t>0,015</w:t>
            </w:r>
          </w:p>
        </w:tc>
        <w:tc>
          <w:tcPr>
            <w:tcW w:type="dxa" w:w="1063"/>
          </w:tcPr>
          <w:p>
            <w:r>
              <w:t>0,14</w:t>
            </w:r>
          </w:p>
        </w:tc>
        <w:tc>
          <w:tcPr>
            <w:tcW w:type="dxa" w:w="1063"/>
          </w:tcPr>
          <w:p>
            <w:r>
              <w:t>9,1</w:t>
            </w:r>
          </w:p>
        </w:tc>
      </w:tr>
    </w:tbl>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leet_threshold_policy.png"/>
                    <pic:cNvPicPr/>
                  </pic:nvPicPr>
                  <pic:blipFill>
                    <a:blip r:embed="rId24"/>
                    <a:stretch>
                      <a:fillRect/>
                    </a:stretch>
                  </pic:blipFill>
                  <pic:spPr>
                    <a:xfrm>
                      <a:off x="0" y="0"/>
                      <a:ext cx="5486400" cy="3291840"/>
                    </a:xfrm>
                    <a:prstGeom prst="rect"/>
                  </pic:spPr>
                </pic:pic>
              </a:graphicData>
            </a:graphic>
          </wp:inline>
        </w:drawing>
      </w:r>
    </w:p>
    <w:p>
      <w:r>
        <w:rPr>
          <w:sz w:val="22"/>
        </w:rPr>
        <w:t>A política por frota reduz o custo operacional total de R$343,3M (threshold único) para R$339,2M — economia adicional de R$4,2M (+1,2%) sobre o ganho já demonstrado no Sprint 2. Mais relevante que o ganho de custo: o F1 agregado sobe de 0,219 para 0,256 (+17%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6" name="Picture 6"/>
            <wp:cNvGraphicFramePr>
              <a:graphicFrameLocks noChangeAspect="1"/>
            </wp:cNvGraphicFramePr>
            <a:graphic>
              <a:graphicData uri="http://schemas.openxmlformats.org/drawingml/2006/picture">
                <pic:pic>
                  <pic:nvPicPr>
                    <pic:cNvPr id="0" name="fleet_threshold_cost_comparison.png"/>
                    <pic:cNvPicPr/>
                  </pic:nvPicPr>
                  <pic:blipFill>
                    <a:blip r:embed="rId23"/>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ca65926_vs_frota.png"/>
                    <pic:cNvPicPr/>
                  </pic:nvPicPr>
                  <pic:blipFill>
                    <a:blip r:embed="rId22"/>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4" name="Picture 4"/>
            <wp:cNvGraphicFramePr>
              <a:graphicFrameLocks noChangeAspect="1"/>
            </wp:cNvGraphicFramePr>
            <a:graphic>
              <a:graphicData uri="http://schemas.openxmlformats.org/drawingml/2006/picture">
                <pic:pic>
                  <pic:nvPicPr>
                    <pic:cNvPr id="0" name="ca65926_monthly_escalation.png"/>
                    <pic:cNvPicPr/>
                  </pic:nvPicPr>
                  <pic:blipFill>
                    <a:blip r:embed="rId21"/>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ca65926_daily_timeline.png"/>
                    <pic:cNvPicPr/>
                  </pic:nvPicPr>
                  <pic:blipFill>
                    <a:blip r:embed="rId20"/>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Modelos de série temporal — explorar RNN/LSTM ou Temporal Fusion Transformer sobre a sequência bruta de alarmes para capturar dependências temporais longas que o fingerprint binário top-30 pode estar perdendo, especialmente para escavadeiras.</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