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O equipamento CA65926 (793-D 4S) é outlier extremo (taxa DG 98× superior à média semestral; 61,6% em Jun/2025). Limitação documentada: o modelo falha em escavadeiras LeTourneau L 1850 (Recall=0,14) — padrão de falha distinto não capturado pelo fingerprint dominado por caminhões, direcionando trabalho futuro para modelos especializados. Entregáveis: dashboard Streamlit interativo, 9 visualizações HTML, 9 notebooks Jupyter reproduzíveis e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9 notebooks + dashboard + relatório</w:t>
            </w:r>
          </w:p>
        </w:tc>
        <w:tc>
          <w:tcPr>
            <w:tcW w:type="dxa" w:w="2835"/>
          </w:tcPr>
          <w:p>
            <w:r>
              <w:t>Streamlit local; 9 dashboards HTML standalone</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12" name="Picture 12"/>
            <wp:cNvGraphicFramePr>
              <a:graphicFrameLocks noChangeAspect="1"/>
            </wp:cNvGraphicFramePr>
            <a:graphic>
              <a:graphicData uri="http://schemas.openxmlformats.org/drawingml/2006/picture">
                <pic:pic>
                  <pic:nvPicPr>
                    <pic:cNvPr id="0" name="roc_curve.png"/>
                    <pic:cNvPicPr/>
                  </pic:nvPicPr>
                  <pic:blipFill>
                    <a:blip r:embed="rId29"/>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28"/>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comparison_f1_bar.png"/>
                    <pic:cNvPicPr/>
                  </pic:nvPicPr>
                  <pic:blipFill>
                    <a:blip r:embed="rId27"/>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mparison_pr_curves.png"/>
                    <pic:cNvPicPr/>
                  </pic:nvPicPr>
                  <pic:blipFill>
                    <a:blip r:embed="rId26"/>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cost_vs_threshold.png"/>
                    <pic:cNvPicPr/>
                  </pic:nvPicPr>
                  <pic:blipFill>
                    <a:blip r:embed="rId25"/>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7" name="Picture 7"/>
            <wp:cNvGraphicFramePr>
              <a:graphicFrameLocks noChangeAspect="1"/>
            </wp:cNvGraphicFramePr>
            <a:graphic>
              <a:graphicData uri="http://schemas.openxmlformats.org/drawingml/2006/picture">
                <pic:pic>
                  <pic:nvPicPr>
                    <pic:cNvPr id="0" name="f1_by_fleet.png"/>
                    <pic:cNvPicPr/>
                  </pic:nvPicPr>
                  <pic:blipFill>
                    <a:blip r:embed="rId24"/>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6" name="Picture 6"/>
            <wp:cNvGraphicFramePr>
              <a:graphicFrameLocks noChangeAspect="1"/>
            </wp:cNvGraphicFramePr>
            <a:graphic>
              <a:graphicData uri="http://schemas.openxmlformats.org/drawingml/2006/picture">
                <pic:pic>
                  <pic:nvPicPr>
                    <pic:cNvPr id="0" name="f1_by_equipment_scatter.png"/>
                    <pic:cNvPicPr/>
                  </pic:nvPicPr>
                  <pic:blipFill>
                    <a:blip r:embed="rId23"/>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horizon_degradation.png"/>
                    <pic:cNvPicPr/>
                  </pic:nvPicPr>
                  <pic:blipFill>
                    <a:blip r:embed="rId22"/>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calibration_plot.png"/>
                    <pic:cNvPicPr/>
                  </pic:nvPicPr>
                  <pic:blipFill>
                    <a:blip r:embed="rId21"/>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threshold_curves.png"/>
                    <pic:cNvPicPr/>
                  </pic:nvPicPr>
                  <pic:blipFill>
                    <a:blip r:embed="rId20"/>
                    <a:stretch>
                      <a:fillRect/>
                    </a:stretch>
                  </pic:blipFill>
                  <pic:spPr>
                    <a:xfrm>
                      <a:off x="0" y="0"/>
                      <a:ext cx="5029200" cy="3017520"/>
                    </a:xfrm>
                    <a:prstGeom prst="rect"/>
                  </pic:spPr>
                </pic:pic>
              </a:graphicData>
            </a:graphic>
          </wp:inline>
        </w:drawing>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Modelo especializado para escavadeiras LeTourneau L 1850 — derivado do achado de Sprint 2: o modelo atual tem Recall=0,14 e PR-AUC=0,01 nesta classe de equipamento, pois o fingerprint top-30 é dominado por padrões 793-D. Recomenda-se treinar um modelo separado com fingerprint específico de escavadeira, ou abordagem de transfer learning com feature engineering por classe.</w:t>
      </w:r>
    </w:p>
    <w:p>
      <w:pPr>
        <w:pStyle w:val="Commarcadores"/>
      </w:pPr>
      <w:r>
        <w:rPr>
          <w:sz w:val="22"/>
        </w:rPr>
        <w:t>2. Threshold custo-ótimo calibrado por frota — extensão da análise de custo de Sprint 2. As distribuições de probabilidade variam significativamente entre as 4 frotas de caminhão; thresholds independentes por frota podem reduzir ainda mais o custo total operacional além dos R$285M já demonstrados.</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