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54 features — frequências de alarmes em janelas rolantes, fingerprint dos top-30 alarmes e contexto operacional — alcançou F1-Score de 0,67 e ROC-AUC de 0,99 na predição de Don't Go com 60 minutos de antecedência (validação temporal estrita: treino Jan–Abr, validação Mai, teste Jun). O ganho de F1 sobre a heurística operacional tradicional é de +343%. A análise multi-horizonte demonstra previsão robusta em até 240 minutos (ROC-AUC&gt;0,96 em 4h), cumprindo a promessa operacional do PRD. A análise de custo operacional (FN=R$50K, FP=R$800, razão 62,5×) revela que o threshold custo-ótimo (0,51) economiza R$285 milhões no mês de teste em relação ao threshold puramente otimizado por F1. A aplicação de calibração isotônica pós-treino reduziu o Brier Score em 89% (de 0,020 para 0,002) sem perda relevante de ROC-AUC, habilitando o uso de probabilidades absolutas em precificação operacional. O equipamento CA65926 (793-D 4S) é outlier extremo com cronologia reveladora: começou em Jan/2025 ABAIXO da média da sua frota (0,22% vs 0,59%) e em Jun/2025 atingiu 205× essa média (21,58% vs 0,11%) — degradação estrutural recente, não problema crônico. Limitação documentada com refinamento empírico: o modelo falha em escavadeiras LeTourneau L 1850 (Recall=0,14); experimento controlado com modelo dedicado piorou métricas devido a distribution shift severo (variação de 600× na taxa DG entre meses), direcionando trabalho futuro para feature engineering específica + detecção de drift. Entregáveis: dashboard Streamlit interativo, 9 visualizações HTML, 11 notebooks Jupyter reproduzíveis, modelo calibrado,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(60min)</w:t>
            </w:r>
          </w:p>
        </w:tc>
        <w:tc>
          <w:tcPr>
            <w:tcW w:type="dxa" w:w="2835"/>
          </w:tcPr>
          <w:p>
            <w:r>
              <w:t>0,673</w:t>
            </w:r>
          </w:p>
        </w:tc>
        <w:tc>
          <w:tcPr>
            <w:tcW w:type="dxa" w:w="2835"/>
          </w:tcPr>
          <w:p>
            <w:r>
              <w:t>+343% sobre heurística operacional (F1=0,153)</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0,96 mantido em todos os horizontes</w:t>
            </w:r>
          </w:p>
        </w:tc>
      </w:tr>
      <w:tr>
        <w:tc>
          <w:tcPr>
            <w:tcW w:type="dxa" w:w="2835"/>
          </w:tcPr>
          <w:p>
            <w:r>
              <w:t>Economia estimada (Jun)</w:t>
            </w:r>
          </w:p>
        </w:tc>
        <w:tc>
          <w:tcPr>
            <w:tcW w:type="dxa" w:w="2835"/>
          </w:tcPr>
          <w:p>
            <w:r>
              <w:t>R$ 285 milhões</w:t>
            </w:r>
          </w:p>
        </w:tc>
        <w:tc>
          <w:tcPr>
            <w:tcW w:type="dxa" w:w="2835"/>
          </w:tcPr>
          <w:p>
            <w:r>
              <w:t>Threshold custo-ótimo vs F1-ótimo,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11 notebooks + dashboard + relatório</w:t>
            </w:r>
          </w:p>
        </w:tc>
        <w:tc>
          <w:tcPr>
            <w:tcW w:type="dxa" w:w="2835"/>
          </w:tcPr>
          <w:p>
            <w:r>
              <w:t>Streamlit local; 9 dashboards HTML standalone; modelo calibrado</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17" name="Picture 17"/>
            <wp:cNvGraphicFramePr>
              <a:graphicFrameLocks noChangeAspect="1"/>
            </wp:cNvGraphicFramePr>
            <a:graphic>
              <a:graphicData uri="http://schemas.openxmlformats.org/drawingml/2006/picture">
                <pic:pic>
                  <pic:nvPicPr>
                    <pic:cNvPr id="0" name="roc_curve.png"/>
                    <pic:cNvPicPr/>
                  </pic:nvPicPr>
                  <pic:blipFill>
                    <a:blip r:embed="rId34"/>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16" name="Picture 16"/>
            <wp:cNvGraphicFramePr>
              <a:graphicFrameLocks noChangeAspect="1"/>
            </wp:cNvGraphicFramePr>
            <a:graphic>
              <a:graphicData uri="http://schemas.openxmlformats.org/drawingml/2006/picture">
                <pic:pic>
                  <pic:nvPicPr>
                    <pic:cNvPr id="0" name="confusion_matrix.png"/>
                    <pic:cNvPicPr/>
                  </pic:nvPicPr>
                  <pic:blipFill>
                    <a:blip r:embed="rId33"/>
                    <a:stretch>
                      <a:fillRect/>
                    </a:stretch>
                  </pic:blipFill>
                  <pic:spPr>
                    <a:xfrm>
                      <a:off x="0" y="0"/>
                      <a:ext cx="3200400" cy="256032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Três observações principais emergem desta comparação:</w:t>
      </w:r>
    </w:p>
    <w:p>
      <w:pPr>
        <w:pStyle w:val="Commarcadores"/>
      </w:pPr>
      <w:r>
        <w:rPr>
          <w:sz w:val="22"/>
        </w:rPr>
        <w:t>Ganho de F1 do ML sobre a heurística operacional: +343% (0.6761 vs 0.1528).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15" name="Picture 15"/>
            <wp:cNvGraphicFramePr>
              <a:graphicFrameLocks noChangeAspect="1"/>
            </wp:cNvGraphicFramePr>
            <a:graphic>
              <a:graphicData uri="http://schemas.openxmlformats.org/drawingml/2006/picture">
                <pic:pic>
                  <pic:nvPicPr>
                    <pic:cNvPr id="0" name="comparison_f1_bar.png"/>
                    <pic:cNvPicPr/>
                  </pic:nvPicPr>
                  <pic:blipFill>
                    <a:blip r:embed="rId32"/>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14" name="Picture 14"/>
            <wp:cNvGraphicFramePr>
              <a:graphicFrameLocks noChangeAspect="1"/>
            </wp:cNvGraphicFramePr>
            <a:graphic>
              <a:graphicData uri="http://schemas.openxmlformats.org/drawingml/2006/picture">
                <pic:pic>
                  <pic:nvPicPr>
                    <pic:cNvPr id="0" name="comparison_pr_curves.png"/>
                    <pic:cNvPicPr/>
                  </pic:nvPicPr>
                  <pic:blipFill>
                    <a:blip r:embed="rId31"/>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13" name="Picture 13"/>
            <wp:cNvGraphicFramePr>
              <a:graphicFrameLocks noChangeAspect="1"/>
            </wp:cNvGraphicFramePr>
            <a:graphic>
              <a:graphicData uri="http://schemas.openxmlformats.org/drawingml/2006/picture">
                <pic:pic>
                  <pic:nvPicPr>
                    <pic:cNvPr id="0" name="cost_vs_threshold.png"/>
                    <pic:cNvPicPr/>
                  </pic:nvPicPr>
                  <pic:blipFill>
                    <a:blip r:embed="rId30"/>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0.930</w:t>
            </w:r>
          </w:p>
        </w:tc>
        <w:tc>
          <w:tcPr>
            <w:tcW w:type="dxa" w:w="1215"/>
          </w:tcPr>
          <w:p>
            <w:r>
              <w:t>22,782</w:t>
            </w:r>
          </w:p>
        </w:tc>
        <w:tc>
          <w:tcPr>
            <w:tcW w:type="dxa" w:w="1215"/>
          </w:tcPr>
          <w:p>
            <w:r>
              <w:t>9,740</w:t>
            </w:r>
          </w:p>
        </w:tc>
        <w:tc>
          <w:tcPr>
            <w:tcW w:type="dxa" w:w="1215"/>
          </w:tcPr>
          <w:p>
            <w:r>
              <w:t>12,421</w:t>
            </w:r>
          </w:p>
        </w:tc>
        <w:tc>
          <w:tcPr>
            <w:tcW w:type="dxa" w:w="1215"/>
          </w:tcPr>
          <w:p>
            <w:r>
              <w:t>0.6728</w:t>
            </w:r>
          </w:p>
        </w:tc>
        <w:tc>
          <w:tcPr>
            <w:tcW w:type="dxa" w:w="1215"/>
          </w:tcPr>
          <w:p>
            <w:r>
              <w:t>628.8</w:t>
            </w:r>
          </w:p>
        </w:tc>
      </w:tr>
      <w:tr>
        <w:tc>
          <w:tcPr>
            <w:tcW w:type="dxa" w:w="1215"/>
          </w:tcPr>
          <w:p>
            <w:r>
              <w:t>Custo ótimo</w:t>
            </w:r>
          </w:p>
        </w:tc>
        <w:tc>
          <w:tcPr>
            <w:tcW w:type="dxa" w:w="1215"/>
          </w:tcPr>
          <w:p>
            <w:r>
              <w:t>0.510</w:t>
            </w:r>
          </w:p>
        </w:tc>
        <w:tc>
          <w:tcPr>
            <w:tcW w:type="dxa" w:w="1215"/>
          </w:tcPr>
          <w:p>
            <w:r>
              <w:t>31,916</w:t>
            </w:r>
          </w:p>
        </w:tc>
        <w:tc>
          <w:tcPr>
            <w:tcW w:type="dxa" w:w="1215"/>
          </w:tcPr>
          <w:p>
            <w:r>
              <w:t>223,734</w:t>
            </w:r>
          </w:p>
        </w:tc>
        <w:tc>
          <w:tcPr>
            <w:tcW w:type="dxa" w:w="1215"/>
          </w:tcPr>
          <w:p>
            <w:r>
              <w:t>3,287</w:t>
            </w:r>
          </w:p>
        </w:tc>
        <w:tc>
          <w:tcPr>
            <w:tcW w:type="dxa" w:w="1215"/>
          </w:tcPr>
          <w:p>
            <w:r>
              <w:t>0.2195</w:t>
            </w:r>
          </w:p>
        </w:tc>
        <w:tc>
          <w:tcPr>
            <w:tcW w:type="dxa" w:w="1215"/>
          </w:tcPr>
          <w:p>
            <w:r>
              <w:t>343.3</w:t>
            </w:r>
          </w:p>
        </w:tc>
      </w:tr>
    </w:tbl>
    <w:p>
      <w:r>
        <w:rPr>
          <w:sz w:val="22"/>
        </w:rPr>
        <w:t>Conclusão financeira: usar o threshold custo-ótimo (~0.51) economiza aproximadamente R$ 286 milhões no mês de teste em comparação ao threshold puramente otimizado por F1 — capturando 91% mais Verdadeiros Positivos ao custo de mais alertas falsos. Em problemas operacionais críticos, este é o regime de operação correto.</w:t>
      </w:r>
    </w:p>
    <w:p>
      <w:pPr>
        <w:pStyle w:val="Ttulo3"/>
      </w:pPr>
      <w:r>
        <w:rPr>
          <w:color w:val="00A650"/>
        </w:rPr>
        <w:t>Casos Representativos — Falsos Positivos</w:t>
      </w:r>
    </w:p>
    <w:p>
      <w:r>
        <w:rPr>
          <w:sz w:val="22"/>
        </w:rPr>
        <w:t>Os 3 FPs de maior convicção do modelo concentram-se no CA65935 (793-D 5S) em uma janela de ~1 minuto: aceleração de alarmes críticos elevada, probabilidade prevista ~0.93,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(~0.012) ocorrem todos no PE3797 (LeTourneau L 1850) — escavadeira. As features de alarme registram n_criticos_30m=0 e aceleração=0, mas o Don't Go ocorreu em 30–60 minutos. O modelo não vê sinal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0.1853</w:t>
            </w:r>
          </w:p>
        </w:tc>
        <w:tc>
          <w:tcPr>
            <w:tcW w:type="dxa" w:w="1215"/>
          </w:tcPr>
          <w:p>
            <w:r>
              <w:t>0.9025</w:t>
            </w:r>
          </w:p>
        </w:tc>
        <w:tc>
          <w:tcPr>
            <w:tcW w:type="dxa" w:w="1215"/>
          </w:tcPr>
          <w:p>
            <w:r>
              <w:t>0.5749</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0.3801</w:t>
            </w:r>
          </w:p>
        </w:tc>
        <w:tc>
          <w:tcPr>
            <w:tcW w:type="dxa" w:w="1215"/>
          </w:tcPr>
          <w:p>
            <w:r>
              <w:t>0.9423</w:t>
            </w:r>
          </w:p>
        </w:tc>
        <w:tc>
          <w:tcPr>
            <w:tcW w:type="dxa" w:w="1215"/>
          </w:tcPr>
          <w:p>
            <w:r>
              <w:t>0.8655</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0.2128</w:t>
            </w:r>
          </w:p>
        </w:tc>
        <w:tc>
          <w:tcPr>
            <w:tcW w:type="dxa" w:w="1215"/>
          </w:tcPr>
          <w:p>
            <w:r>
              <w:t>0.8123</w:t>
            </w:r>
          </w:p>
        </w:tc>
        <w:tc>
          <w:tcPr>
            <w:tcW w:type="dxa" w:w="1215"/>
          </w:tcPr>
          <w:p>
            <w:r>
              <w:t>0.3608</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0.0411</w:t>
            </w:r>
          </w:p>
        </w:tc>
        <w:tc>
          <w:tcPr>
            <w:tcW w:type="dxa" w:w="1215"/>
          </w:tcPr>
          <w:p>
            <w:r>
              <w:t>0.7500</w:t>
            </w:r>
          </w:p>
        </w:tc>
        <w:tc>
          <w:tcPr>
            <w:tcW w:type="dxa" w:w="1215"/>
          </w:tcPr>
          <w:p>
            <w:r>
              <w:t>0.1342</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0.0153</w:t>
            </w:r>
          </w:p>
        </w:tc>
        <w:tc>
          <w:tcPr>
            <w:tcW w:type="dxa" w:w="1215"/>
          </w:tcPr>
          <w:p>
            <w:r>
              <w:t>0.1358</w:t>
            </w:r>
          </w:p>
        </w:tc>
        <w:tc>
          <w:tcPr>
            <w:tcW w:type="dxa" w:w="1215"/>
          </w:tcPr>
          <w:p>
            <w:r>
              <w:t>0.0102</w:t>
            </w:r>
          </w:p>
        </w:tc>
      </w:tr>
    </w:tbl>
    <w:p>
      <w:pPr>
        <w:jc w:val="center"/>
      </w:pPr>
      <w:r>
        <w:drawing>
          <wp:inline xmlns:a="http://schemas.openxmlformats.org/drawingml/2006/main" xmlns:pic="http://schemas.openxmlformats.org/drawingml/2006/picture">
            <wp:extent cx="5029200" cy="2286000"/>
            <wp:docPr id="12" name="Picture 12"/>
            <wp:cNvGraphicFramePr>
              <a:graphicFrameLocks noChangeAspect="1"/>
            </wp:cNvGraphicFramePr>
            <a:graphic>
              <a:graphicData uri="http://schemas.openxmlformats.org/drawingml/2006/picture">
                <pic:pic>
                  <pic:nvPicPr>
                    <pic:cNvPr id="0" name="f1_by_fleet.png"/>
                    <pic:cNvPicPr/>
                  </pic:nvPicPr>
                  <pic:blipFill>
                    <a:blip r:embed="rId29"/>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11" name="Picture 11"/>
            <wp:cNvGraphicFramePr>
              <a:graphicFrameLocks noChangeAspect="1"/>
            </wp:cNvGraphicFramePr>
            <a:graphic>
              <a:graphicData uri="http://schemas.openxmlformats.org/drawingml/2006/picture">
                <pic:pic>
                  <pic:nvPicPr>
                    <pic:cNvPr id="0" name="f1_by_equipment_scatter.png"/>
                    <pic:cNvPicPr/>
                  </pic:nvPicPr>
                  <pic:blipFill>
                    <a:blip r:embed="rId28"/>
                    <a:stretch>
                      <a:fillRect/>
                    </a:stretch>
                  </pic:blipFill>
                  <pic:spPr>
                    <a:xfrm>
                      <a:off x="0" y="0"/>
                      <a:ext cx="5029200" cy="2743200"/>
                    </a:xfrm>
                    <a:prstGeom prst="rect"/>
                  </pic:spPr>
                </pic:pic>
              </a:graphicData>
            </a:graphic>
          </wp:inline>
        </w:drawing>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(0,93):</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0.6728</w:t>
            </w:r>
          </w:p>
        </w:tc>
        <w:tc>
          <w:tcPr>
            <w:tcW w:type="dxa" w:w="1063"/>
          </w:tcPr>
          <w:p>
            <w:r>
              <w:t>0.7005</w:t>
            </w:r>
          </w:p>
        </w:tc>
        <w:tc>
          <w:tcPr>
            <w:tcW w:type="dxa" w:w="1063"/>
          </w:tcPr>
          <w:p>
            <w:r>
              <w:t>0.6472</w:t>
            </w:r>
          </w:p>
        </w:tc>
        <w:tc>
          <w:tcPr>
            <w:tcW w:type="dxa" w:w="1063"/>
          </w:tcPr>
          <w:p>
            <w:r>
              <w:t>0.9923</w:t>
            </w:r>
          </w:p>
        </w:tc>
        <w:tc>
          <w:tcPr>
            <w:tcW w:type="dxa" w:w="1063"/>
          </w:tcPr>
          <w:p>
            <w:r>
              <w:t>0.6739</w:t>
            </w:r>
          </w:p>
        </w:tc>
      </w:tr>
      <w:tr>
        <w:tc>
          <w:tcPr>
            <w:tcW w:type="dxa" w:w="1063"/>
          </w:tcPr>
          <w:p>
            <w:r>
              <w:t>120</w:t>
            </w:r>
          </w:p>
        </w:tc>
        <w:tc>
          <w:tcPr>
            <w:tcW w:type="dxa" w:w="1063"/>
          </w:tcPr>
          <w:p>
            <w:r>
              <w:t>46,796</w:t>
            </w:r>
          </w:p>
        </w:tc>
        <w:tc>
          <w:tcPr>
            <w:tcW w:type="dxa" w:w="1063"/>
          </w:tcPr>
          <w:p>
            <w:r>
              <w:t>0.596%</w:t>
            </w:r>
          </w:p>
        </w:tc>
        <w:tc>
          <w:tcPr>
            <w:tcW w:type="dxa" w:w="1063"/>
          </w:tcPr>
          <w:p>
            <w:r>
              <w:t>0.6103</w:t>
            </w:r>
          </w:p>
        </w:tc>
        <w:tc>
          <w:tcPr>
            <w:tcW w:type="dxa" w:w="1063"/>
          </w:tcPr>
          <w:p>
            <w:r>
              <w:t>0.7442</w:t>
            </w:r>
          </w:p>
        </w:tc>
        <w:tc>
          <w:tcPr>
            <w:tcW w:type="dxa" w:w="1063"/>
          </w:tcPr>
          <w:p>
            <w:r>
              <w:t>0.5172</w:t>
            </w:r>
          </w:p>
        </w:tc>
        <w:tc>
          <w:tcPr>
            <w:tcW w:type="dxa" w:w="1063"/>
          </w:tcPr>
          <w:p>
            <w:r>
              <w:t>0.9799</w:t>
            </w:r>
          </w:p>
        </w:tc>
        <w:tc>
          <w:tcPr>
            <w:tcW w:type="dxa" w:w="1063"/>
          </w:tcPr>
          <w:p>
            <w:r>
              <w:t>0.6136</w:t>
            </w:r>
          </w:p>
        </w:tc>
      </w:tr>
      <w:tr>
        <w:tc>
          <w:tcPr>
            <w:tcW w:type="dxa" w:w="1063"/>
          </w:tcPr>
          <w:p>
            <w:r>
              <w:t>240</w:t>
            </w:r>
          </w:p>
        </w:tc>
        <w:tc>
          <w:tcPr>
            <w:tcW w:type="dxa" w:w="1063"/>
          </w:tcPr>
          <w:p>
            <w:r>
              <w:t>69,036</w:t>
            </w:r>
          </w:p>
        </w:tc>
        <w:tc>
          <w:tcPr>
            <w:tcW w:type="dxa" w:w="1063"/>
          </w:tcPr>
          <w:p>
            <w:r>
              <w:t>0.879%</w:t>
            </w:r>
          </w:p>
        </w:tc>
        <w:tc>
          <w:tcPr>
            <w:tcW w:type="dxa" w:w="1063"/>
          </w:tcPr>
          <w:p>
            <w:r>
              <w:t>0.5024</w:t>
            </w:r>
          </w:p>
        </w:tc>
        <w:tc>
          <w:tcPr>
            <w:tcW w:type="dxa" w:w="1063"/>
          </w:tcPr>
          <w:p>
            <w:r>
              <w:t>0.7845</w:t>
            </w:r>
          </w:p>
        </w:tc>
        <w:tc>
          <w:tcPr>
            <w:tcW w:type="dxa" w:w="1063"/>
          </w:tcPr>
          <w:p>
            <w:r>
              <w:t>0.3695</w:t>
            </w:r>
          </w:p>
        </w:tc>
        <w:tc>
          <w:tcPr>
            <w:tcW w:type="dxa" w:w="1063"/>
          </w:tcPr>
          <w:p>
            <w:r>
              <w:t>0.9644</w:t>
            </w:r>
          </w:p>
        </w:tc>
        <w:tc>
          <w:tcPr>
            <w:tcW w:type="dxa" w:w="1063"/>
          </w:tcPr>
          <w:p>
            <w:r>
              <w:t>0.5223</w:t>
            </w:r>
          </w:p>
        </w:tc>
      </w:tr>
    </w:tbl>
    <w:p>
      <w:pPr>
        <w:jc w:val="center"/>
      </w:pPr>
      <w:r>
        <w:drawing>
          <wp:inline xmlns:a="http://schemas.openxmlformats.org/drawingml/2006/main" xmlns:pic="http://schemas.openxmlformats.org/drawingml/2006/picture">
            <wp:extent cx="5029200" cy="3017520"/>
            <wp:docPr id="10" name="Picture 10"/>
            <wp:cNvGraphicFramePr>
              <a:graphicFrameLocks noChangeAspect="1"/>
            </wp:cNvGraphicFramePr>
            <a:graphic>
              <a:graphicData uri="http://schemas.openxmlformats.org/drawingml/2006/picture">
                <pic:pic>
                  <pic:nvPicPr>
                    <pic:cNvPr id="0" name="horizon_degradation.png"/>
                    <pic:cNvPicPr/>
                  </pic:nvPicPr>
                  <pic:blipFill>
                    <a:blip r:embed="rId27"/>
                    <a:stretch>
                      <a:fillRect/>
                    </a:stretch>
                  </pic:blipFill>
                  <pic:spPr>
                    <a:xfrm>
                      <a:off x="0" y="0"/>
                      <a:ext cx="5029200" cy="3017520"/>
                    </a:xfrm>
                    <a:prstGeom prst="rect"/>
                  </pic:spPr>
                </pic:pic>
              </a:graphicData>
            </a:graphic>
          </wp:inline>
        </w:drawing>
      </w:r>
    </w:p>
    <w:p>
      <w:r>
        <w:rPr>
          <w:sz w:val="22"/>
        </w:rPr>
        <w:t>Observações principais: (1) ROC-AUC permanece acima de 0.96 em todos os horizontes, demonstrando que o ranking de risco é robusto à janela. (2) A precision sobe com o horizonte (0,70 → 0,78), indicando que alertas com score alto têm probabilidade ainda maior de Don't Go nos próximos 240 minutos. (3) O recall cai (0,65 → 0,37) — janelas longas captam menos positivos, mas com confiabilidade maior.</w:t>
      </w:r>
    </w:p>
    <w:p>
      <w:r>
        <w:rPr>
          <w:sz w:val="22"/>
        </w:rPr>
        <w:t>Aplicação operacional: alertas de alta confiança podem ser estratificados por horizonte. Probabilidade ≥0,93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0.0203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9" name="Picture 9"/>
            <wp:cNvGraphicFramePr>
              <a:graphicFrameLocks noChangeAspect="1"/>
            </wp:cNvGraphicFramePr>
            <a:graphic>
              <a:graphicData uri="http://schemas.openxmlformats.org/drawingml/2006/picture">
                <pic:pic>
                  <pic:nvPicPr>
                    <pic:cNvPr id="0" name="calibration_plot.png"/>
                    <pic:cNvPicPr/>
                  </pic:nvPicPr>
                  <pic:blipFill>
                    <a:blip r:embed="rId26"/>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F1-ótimo (0,93) e custo-ótimo (0,51).</w:t>
      </w:r>
    </w:p>
    <w:p>
      <w:pPr>
        <w:jc w:val="center"/>
      </w:pPr>
      <w:r>
        <w:drawing>
          <wp:inline xmlns:a="http://schemas.openxmlformats.org/drawingml/2006/main" xmlns:pic="http://schemas.openxmlformats.org/drawingml/2006/picture">
            <wp:extent cx="5029200" cy="3017520"/>
            <wp:docPr id="8" name="Picture 8"/>
            <wp:cNvGraphicFramePr>
              <a:graphicFrameLocks noChangeAspect="1"/>
            </wp:cNvGraphicFramePr>
            <a:graphic>
              <a:graphicData uri="http://schemas.openxmlformats.org/drawingml/2006/picture">
                <pic:pic>
                  <pic:nvPicPr>
                    <pic:cNvPr id="0" name="threshold_curves.png"/>
                    <pic:cNvPicPr/>
                  </pic:nvPicPr>
                  <pic:blipFill>
                    <a:blip r:embed="rId25"/>
                    <a:stretch>
                      <a:fillRect/>
                    </a:stretch>
                  </pic:blipFill>
                  <pic:spPr>
                    <a:xfrm>
                      <a:off x="0" y="0"/>
                      <a:ext cx="5029200" cy="3017520"/>
                    </a:xfrm>
                    <a:prstGeom prst="rect"/>
                  </pic:spPr>
                </pic:pic>
              </a:graphicData>
            </a:graphic>
          </wp:inline>
        </w:drawing>
      </w:r>
    </w:p>
    <w:p>
      <w:pPr>
        <w:pStyle w:val="Ttulo3"/>
      </w:pPr>
      <w:r>
        <w:rPr>
          <w:color w:val="00A650"/>
        </w:rPr>
        <w:t>Calibração Isotônica Pós-Treino</w:t>
      </w:r>
    </w:p>
    <w:p>
      <w:r>
        <w:rPr>
          <w:sz w:val="22"/>
        </w:rPr>
        <w:t>Como solução para a calibração sub-ótima do modelo bruto, aplicamos IsotonicRegression pós-treino — ajustada no conjunto de validação (Mai/2025) e avaliada no teste (Jun/2025). Os ganhos são substanciais:</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Bruto</w:t>
            </w:r>
          </w:p>
        </w:tc>
        <w:tc>
          <w:tcPr>
            <w:tcW w:type="dxa" w:w="2126"/>
          </w:tcPr>
          <w:p>
            <w:r>
              <w:rPr>
                <w:b/>
              </w:rPr>
              <w:t>Isotônico</w:t>
            </w:r>
          </w:p>
        </w:tc>
        <w:tc>
          <w:tcPr>
            <w:tcW w:type="dxa" w:w="2126"/>
          </w:tcPr>
          <w:p>
            <w:r>
              <w:rPr>
                <w:b/>
              </w:rPr>
              <w:t>Δ %</w:t>
            </w:r>
          </w:p>
        </w:tc>
      </w:tr>
      <w:tr>
        <w:tc>
          <w:tcPr>
            <w:tcW w:type="dxa" w:w="2126"/>
          </w:tcPr>
          <w:p>
            <w:r>
              <w:t>Brier Score</w:t>
            </w:r>
          </w:p>
        </w:tc>
        <w:tc>
          <w:tcPr>
            <w:tcW w:type="dxa" w:w="2126"/>
          </w:tcPr>
          <w:p>
            <w:r>
              <w:t>0.02025</w:t>
            </w:r>
          </w:p>
        </w:tc>
        <w:tc>
          <w:tcPr>
            <w:tcW w:type="dxa" w:w="2126"/>
          </w:tcPr>
          <w:p>
            <w:r>
              <w:t>0.00221</w:t>
            </w:r>
          </w:p>
        </w:tc>
        <w:tc>
          <w:tcPr>
            <w:tcW w:type="dxa" w:w="2126"/>
          </w:tcPr>
          <w:p>
            <w:r>
              <w:t>+89.1%</w:t>
            </w:r>
          </w:p>
        </w:tc>
      </w:tr>
      <w:tr>
        <w:tc>
          <w:tcPr>
            <w:tcW w:type="dxa" w:w="2126"/>
          </w:tcPr>
          <w:p>
            <w:r>
              <w:t>LogLoss</w:t>
            </w:r>
          </w:p>
        </w:tc>
        <w:tc>
          <w:tcPr>
            <w:tcW w:type="dxa" w:w="2126"/>
          </w:tcPr>
          <w:p>
            <w:r>
              <w:t>0.07039</w:t>
            </w:r>
          </w:p>
        </w:tc>
        <w:tc>
          <w:tcPr>
            <w:tcW w:type="dxa" w:w="2126"/>
          </w:tcPr>
          <w:p>
            <w:r>
              <w:t>0.01168</w:t>
            </w:r>
          </w:p>
        </w:tc>
        <w:tc>
          <w:tcPr>
            <w:tcW w:type="dxa" w:w="2126"/>
          </w:tcPr>
          <w:p>
            <w:r>
              <w:t>—</w:t>
            </w:r>
          </w:p>
        </w:tc>
      </w:tr>
      <w:tr>
        <w:tc>
          <w:tcPr>
            <w:tcW w:type="dxa" w:w="2126"/>
          </w:tcPr>
          <w:p>
            <w:r>
              <w:t>ROC-AUC</w:t>
            </w:r>
          </w:p>
        </w:tc>
        <w:tc>
          <w:tcPr>
            <w:tcW w:type="dxa" w:w="2126"/>
          </w:tcPr>
          <w:p>
            <w:r>
              <w:t>0.9923</w:t>
            </w:r>
          </w:p>
        </w:tc>
        <w:tc>
          <w:tcPr>
            <w:tcW w:type="dxa" w:w="2126"/>
          </w:tcPr>
          <w:p>
            <w:r>
              <w:t>0.9917</w:t>
            </w:r>
          </w:p>
        </w:tc>
        <w:tc>
          <w:tcPr>
            <w:tcW w:type="dxa" w:w="2126"/>
          </w:tcPr>
          <w:p>
            <w:r>
              <w:t>−0,06%</w:t>
            </w:r>
          </w:p>
        </w:tc>
      </w:tr>
      <w:tr>
        <w:tc>
          <w:tcPr>
            <w:tcW w:type="dxa" w:w="2126"/>
          </w:tcPr>
          <w:p>
            <w:r>
              <w:t>PR-AUC</w:t>
            </w:r>
          </w:p>
        </w:tc>
        <w:tc>
          <w:tcPr>
            <w:tcW w:type="dxa" w:w="2126"/>
          </w:tcPr>
          <w:p>
            <w:r>
              <w:t>0.6739</w:t>
            </w:r>
          </w:p>
        </w:tc>
        <w:tc>
          <w:tcPr>
            <w:tcW w:type="dxa" w:w="2126"/>
          </w:tcPr>
          <w:p>
            <w:r>
              <w:t>0.6559</w:t>
            </w:r>
          </w:p>
        </w:tc>
        <w:tc>
          <w:tcPr>
            <w:tcW w:type="dxa" w:w="2126"/>
          </w:tcPr>
          <w:p>
            <w:r>
              <w:t>−2,7%</w:t>
            </w:r>
          </w:p>
        </w:tc>
      </w:tr>
    </w:tbl>
    <w:p>
      <w:r>
        <w:rPr>
          <w:sz w:val="22"/>
        </w:rPr>
        <w:t>O Brier Score caiu 89% sem perda relevante de ROC-AUC. O modelo calibrado passou a ser 2.0× melhor que a baseline trivial de prever a taxa base constante — possível agora usar probabilidades absolutas para precificação de manutenção, dimensionamento de capacidade e comunicação executiva ("este equipamento tem 70% de chance de Don't Go nos próximos 60min").</w:t>
      </w:r>
    </w:p>
    <w:p>
      <w:pPr>
        <w:jc w:val="center"/>
      </w:pPr>
      <w:r>
        <w:drawing>
          <wp:inline xmlns:a="http://schemas.openxmlformats.org/drawingml/2006/main" xmlns:pic="http://schemas.openxmlformats.org/drawingml/2006/picture">
            <wp:extent cx="5486400" cy="2351314"/>
            <wp:docPr id="7" name="Picture 7"/>
            <wp:cNvGraphicFramePr>
              <a:graphicFrameLocks noChangeAspect="1"/>
            </wp:cNvGraphicFramePr>
            <a:graphic>
              <a:graphicData uri="http://schemas.openxmlformats.org/drawingml/2006/picture">
                <pic:pic>
                  <pic:nvPicPr>
                    <pic:cNvPr id="0" name="isotonic_calibration.png"/>
                    <pic:cNvPicPr/>
                  </pic:nvPicPr>
                  <pic:blipFill>
                    <a:blip r:embed="rId24"/>
                    <a:stretch>
                      <a:fillRect/>
                    </a:stretch>
                  </pic:blipFill>
                  <pic:spPr>
                    <a:xfrm>
                      <a:off x="0" y="0"/>
                      <a:ext cx="5486400" cy="2351314"/>
                    </a:xfrm>
                    <a:prstGeom prst="rect"/>
                  </pic:spPr>
                </pic:pic>
              </a:graphicData>
            </a:graphic>
          </wp:inline>
        </w:drawing>
      </w:r>
    </w:p>
    <w:p>
      <w:pPr>
        <w:jc w:val="center"/>
      </w:pPr>
      <w:r>
        <w:drawing>
          <wp:inline xmlns:a="http://schemas.openxmlformats.org/drawingml/2006/main" xmlns:pic="http://schemas.openxmlformats.org/drawingml/2006/picture">
            <wp:extent cx="4114800" cy="3600450"/>
            <wp:docPr id="6" name="Picture 6"/>
            <wp:cNvGraphicFramePr>
              <a:graphicFrameLocks noChangeAspect="1"/>
            </wp:cNvGraphicFramePr>
            <a:graphic>
              <a:graphicData uri="http://schemas.openxmlformats.org/drawingml/2006/picture">
                <pic:pic>
                  <pic:nvPicPr>
                    <pic:cNvPr id="0" name="isotonic_mapping.png"/>
                    <pic:cNvPicPr/>
                  </pic:nvPicPr>
                  <pic:blipFill>
                    <a:blip r:embed="rId23"/>
                    <a:stretch>
                      <a:fillRect/>
                    </a:stretch>
                  </pic:blipFill>
                  <pic:spPr>
                    <a:xfrm>
                      <a:off x="0" y="0"/>
                      <a:ext cx="4114800" cy="3600450"/>
                    </a:xfrm>
                    <a:prstGeom prst="rect"/>
                  </pic:spPr>
                </pic:pic>
              </a:graphicData>
            </a:graphic>
          </wp:inline>
        </w:drawing>
      </w:r>
    </w:p>
    <w:p>
      <w:r>
        <w:rPr>
          <w:sz w:val="22"/>
        </w:rPr>
        <w:t>O calibrador é serializado em outputs/gold/isotonic_calibrator.pkl e aplicado como pós-processamento de 1 linha após a inferência do LightGBM principal — não requer retreinamento.</w:t>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Caso Aprofundado — Cronologia de Degradação do CA65926</w:t>
      </w:r>
    </w:p>
    <w:p>
      <w:r>
        <w:rPr>
          <w:sz w:val="22"/>
        </w:rPr>
        <w:t>O equipamento CA65926 (793-D 4S) merece análise dedicada por ser o outlier extremo da frota e por sua cronologia revelar um padrão de degradação estrutural. A tabela abaixo recorta a taxa mensal de Don't Go do equipamento contra a média dos demais caminhões 793-D 4S do mesmo período: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Mês</w:t>
            </w:r>
          </w:p>
        </w:tc>
        <w:tc>
          <w:tcPr>
            <w:tcW w:type="dxa" w:w="2126"/>
          </w:tcPr>
          <w:p>
            <w:r>
              <w:rPr>
                <w:b/>
              </w:rPr>
              <w:t>Taxa CA65926</w:t>
            </w:r>
          </w:p>
        </w:tc>
        <w:tc>
          <w:tcPr>
            <w:tcW w:type="dxa" w:w="2126"/>
          </w:tcPr>
          <w:p>
            <w:r>
              <w:rPr>
                <w:b/>
              </w:rPr>
              <w:t>Média 793-D 4S</w:t>
            </w:r>
          </w:p>
        </w:tc>
        <w:tc>
          <w:tcPr>
            <w:tcW w:type="dxa" w:w="2126"/>
          </w:tcPr>
          <w:p>
            <w:r>
              <w:rPr>
                <w:b/>
              </w:rPr>
              <w:t>Razão</w:t>
            </w:r>
          </w:p>
        </w:tc>
      </w:tr>
      <w:tr>
        <w:tc>
          <w:tcPr>
            <w:tcW w:type="dxa" w:w="2126"/>
          </w:tcPr>
          <w:p>
            <w:r>
              <w:t>JAN</w:t>
            </w:r>
          </w:p>
        </w:tc>
        <w:tc>
          <w:tcPr>
            <w:tcW w:type="dxa" w:w="2126"/>
          </w:tcPr>
          <w:p>
            <w:r>
              <w:t>0.216%</w:t>
            </w:r>
          </w:p>
        </w:tc>
        <w:tc>
          <w:tcPr>
            <w:tcW w:type="dxa" w:w="2126"/>
          </w:tcPr>
          <w:p>
            <w:r>
              <w:t>0.592%</w:t>
            </w:r>
          </w:p>
        </w:tc>
        <w:tc>
          <w:tcPr>
            <w:tcW w:type="dxa" w:w="2126"/>
          </w:tcPr>
          <w:p>
            <w:r>
              <w:t>0.4×</w:t>
            </w:r>
          </w:p>
        </w:tc>
      </w:tr>
      <w:tr>
        <w:tc>
          <w:tcPr>
            <w:tcW w:type="dxa" w:w="2126"/>
          </w:tcPr>
          <w:p>
            <w:r>
              <w:t>FEB</w:t>
            </w:r>
          </w:p>
        </w:tc>
        <w:tc>
          <w:tcPr>
            <w:tcW w:type="dxa" w:w="2126"/>
          </w:tcPr>
          <w:p>
            <w:r>
              <w:t>0.385%</w:t>
            </w:r>
          </w:p>
        </w:tc>
        <w:tc>
          <w:tcPr>
            <w:tcW w:type="dxa" w:w="2126"/>
          </w:tcPr>
          <w:p>
            <w:r>
              <w:t>0.617%</w:t>
            </w:r>
          </w:p>
        </w:tc>
        <w:tc>
          <w:tcPr>
            <w:tcW w:type="dxa" w:w="2126"/>
          </w:tcPr>
          <w:p>
            <w:r>
              <w:t>0.6×</w:t>
            </w:r>
          </w:p>
        </w:tc>
      </w:tr>
      <w:tr>
        <w:tc>
          <w:tcPr>
            <w:tcW w:type="dxa" w:w="2126"/>
          </w:tcPr>
          <w:p>
            <w:r>
              <w:t>MAR</w:t>
            </w:r>
          </w:p>
        </w:tc>
        <w:tc>
          <w:tcPr>
            <w:tcW w:type="dxa" w:w="2126"/>
          </w:tcPr>
          <w:p>
            <w:r>
              <w:t>2.519%</w:t>
            </w:r>
          </w:p>
        </w:tc>
        <w:tc>
          <w:tcPr>
            <w:tcW w:type="dxa" w:w="2126"/>
          </w:tcPr>
          <w:p>
            <w:r>
              <w:t>0.297%</w:t>
            </w:r>
          </w:p>
        </w:tc>
        <w:tc>
          <w:tcPr>
            <w:tcW w:type="dxa" w:w="2126"/>
          </w:tcPr>
          <w:p>
            <w:r>
              <w:t>8.5×</w:t>
            </w:r>
          </w:p>
        </w:tc>
      </w:tr>
      <w:tr>
        <w:tc>
          <w:tcPr>
            <w:tcW w:type="dxa" w:w="2126"/>
          </w:tcPr>
          <w:p>
            <w:r>
              <w:t>ABR</w:t>
            </w:r>
          </w:p>
        </w:tc>
        <w:tc>
          <w:tcPr>
            <w:tcW w:type="dxa" w:w="2126"/>
          </w:tcPr>
          <w:p>
            <w:r>
              <w:t>0.259%</w:t>
            </w:r>
          </w:p>
        </w:tc>
        <w:tc>
          <w:tcPr>
            <w:tcW w:type="dxa" w:w="2126"/>
          </w:tcPr>
          <w:p>
            <w:r>
              <w:t>0.113%</w:t>
            </w:r>
          </w:p>
        </w:tc>
        <w:tc>
          <w:tcPr>
            <w:tcW w:type="dxa" w:w="2126"/>
          </w:tcPr>
          <w:p>
            <w:r>
              <w:t>2.3×</w:t>
            </w:r>
          </w:p>
        </w:tc>
      </w:tr>
      <w:tr>
        <w:tc>
          <w:tcPr>
            <w:tcW w:type="dxa" w:w="2126"/>
          </w:tcPr>
          <w:p>
            <w:r>
              <w:t>MAY</w:t>
            </w:r>
          </w:p>
        </w:tc>
        <w:tc>
          <w:tcPr>
            <w:tcW w:type="dxa" w:w="2126"/>
          </w:tcPr>
          <w:p>
            <w:r>
              <w:t>0.413%</w:t>
            </w:r>
          </w:p>
        </w:tc>
        <w:tc>
          <w:tcPr>
            <w:tcW w:type="dxa" w:w="2126"/>
          </w:tcPr>
          <w:p>
            <w:r>
              <w:t>0.146%</w:t>
            </w:r>
          </w:p>
        </w:tc>
        <w:tc>
          <w:tcPr>
            <w:tcW w:type="dxa" w:w="2126"/>
          </w:tcPr>
          <w:p>
            <w:r>
              <w:t>2.8×</w:t>
            </w:r>
          </w:p>
        </w:tc>
      </w:tr>
      <w:tr>
        <w:tc>
          <w:tcPr>
            <w:tcW w:type="dxa" w:w="2126"/>
          </w:tcPr>
          <w:p>
            <w:r>
              <w:t>JUN</w:t>
            </w:r>
          </w:p>
        </w:tc>
        <w:tc>
          <w:tcPr>
            <w:tcW w:type="dxa" w:w="2126"/>
          </w:tcPr>
          <w:p>
            <w:r>
              <w:t>21.576%</w:t>
            </w:r>
          </w:p>
        </w:tc>
        <w:tc>
          <w:tcPr>
            <w:tcW w:type="dxa" w:w="2126"/>
          </w:tcPr>
          <w:p>
            <w:r>
              <w:t>0.105%</w:t>
            </w:r>
          </w:p>
        </w:tc>
        <w:tc>
          <w:tcPr>
            <w:tcW w:type="dxa" w:w="2126"/>
          </w:tcPr>
          <w:p>
            <w:r>
              <w:t>205.1×</w:t>
            </w:r>
          </w:p>
        </w:tc>
      </w:tr>
    </w:tbl>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ca65926_vs_frota.png"/>
                    <pic:cNvPicPr/>
                  </pic:nvPicPr>
                  <pic:blipFill>
                    <a:blip r:embed="rId22"/>
                    <a:stretch>
                      <a:fillRect/>
                    </a:stretch>
                  </pic:blipFill>
                  <pic:spPr>
                    <a:xfrm>
                      <a:off x="0" y="0"/>
                      <a:ext cx="5029200" cy="2514600"/>
                    </a:xfrm>
                    <a:prstGeom prst="rect"/>
                  </pic:spPr>
                </pic:pic>
              </a:graphicData>
            </a:graphic>
          </wp:inline>
        </w:drawing>
      </w:r>
    </w:p>
    <w:p>
      <w:r>
        <w:rPr>
          <w:sz w:val="22"/>
        </w:rPr>
        <w:t>Três achados de alto valor operacional emergem desta análise:</w:t>
      </w:r>
    </w:p>
    <w:p>
      <w:pPr>
        <w:pStyle w:val="Commarcadores"/>
      </w:pPr>
      <w:r>
        <w:rPr>
          <w:sz w:val="22"/>
        </w:rPr>
        <w:t>Inversão completa do perfil de risco: em Janeiro/2025, o CA65926 estava ABAIXO da média da sua frota (0,22% vs 0,59%). Não nasceu problemático — a degradação é estrutural e recente.</w:t>
      </w:r>
    </w:p>
    <w:p>
      <w:pPr>
        <w:pStyle w:val="Commarcadores"/>
      </w:pPr>
      <w:r>
        <w:rPr>
          <w:sz w:val="22"/>
        </w:rPr>
        <w:t>Março/2025 foi um sinal de alerta antecipado: primeiro surto com taxa 8,5× a média da frota. Deveria ter motivado inspeção mais profunda. O recuo em Abril foi enganoso — a tendência se reverteu.</w:t>
      </w:r>
    </w:p>
    <w:p>
      <w:pPr>
        <w:pStyle w:val="Commarcadores"/>
      </w:pPr>
      <w:r>
        <w:rPr>
          <w:sz w:val="22"/>
        </w:rPr>
        <w:t>Junho/2025 é colapso: taxa de Don't Go 205× a média da frota. Variabilidade desta magnitude não é aleatória — é falha sistêmica que justifica retirada para inspeção estrutural completa.</w:t>
      </w:r>
    </w:p>
    <w:p>
      <w:pPr>
        <w:jc w:val="center"/>
      </w:pPr>
      <w:r>
        <w:drawing>
          <wp:inline xmlns:a="http://schemas.openxmlformats.org/drawingml/2006/main" xmlns:pic="http://schemas.openxmlformats.org/drawingml/2006/picture">
            <wp:extent cx="5486400" cy="2194560"/>
            <wp:docPr id="4" name="Picture 4"/>
            <wp:cNvGraphicFramePr>
              <a:graphicFrameLocks noChangeAspect="1"/>
            </wp:cNvGraphicFramePr>
            <a:graphic>
              <a:graphicData uri="http://schemas.openxmlformats.org/drawingml/2006/picture">
                <pic:pic>
                  <pic:nvPicPr>
                    <pic:cNvPr id="0" name="ca65926_monthly_escalation.png"/>
                    <pic:cNvPicPr/>
                  </pic:nvPicPr>
                  <pic:blipFill>
                    <a:blip r:embed="rId21"/>
                    <a:stretch>
                      <a:fillRect/>
                    </a:stretch>
                  </pic:blipFill>
                  <pic:spPr>
                    <a:xfrm>
                      <a:off x="0" y="0"/>
                      <a:ext cx="5486400" cy="2194560"/>
                    </a:xfrm>
                    <a:prstGeom prst="rect"/>
                  </pic:spPr>
                </pic:pic>
              </a:graphicData>
            </a:graphic>
          </wp:inline>
        </w:drawing>
      </w:r>
    </w:p>
    <w:p>
      <w:r>
        <w:rPr>
          <w:sz w:val="22"/>
        </w:rPr>
        <w:t>Fator de escalada interno: 100× entre o menor e o maior mês. A mediana da feature aceleracao_criticos saltou de 0,00 (Jan-Mai) para 0,87 em Junho — confirmação operacional do que o modelo já estava capturando como sinal preditivo.</w:t>
      </w:r>
    </w:p>
    <w:p>
      <w:pPr>
        <w:jc w:val="center"/>
      </w:pPr>
      <w:r>
        <w:drawing>
          <wp:inline xmlns:a="http://schemas.openxmlformats.org/drawingml/2006/main" xmlns:pic="http://schemas.openxmlformats.org/drawingml/2006/picture">
            <wp:extent cx="5486400" cy="2155371"/>
            <wp:docPr id="3" name="Picture 3"/>
            <wp:cNvGraphicFramePr>
              <a:graphicFrameLocks noChangeAspect="1"/>
            </wp:cNvGraphicFramePr>
            <a:graphic>
              <a:graphicData uri="http://schemas.openxmlformats.org/drawingml/2006/picture">
                <pic:pic>
                  <pic:nvPicPr>
                    <pic:cNvPr id="0" name="ca65926_daily_timeline.png"/>
                    <pic:cNvPicPr/>
                  </pic:nvPicPr>
                  <pic:blipFill>
                    <a:blip r:embed="rId20"/>
                    <a:stretch>
                      <a:fillRect/>
                    </a:stretch>
                  </pic:blipFill>
                  <pic:spPr>
                    <a:xfrm>
                      <a:off x="0" y="0"/>
                      <a:ext cx="5486400" cy="2155371"/>
                    </a:xfrm>
                    <a:prstGeom prst="rect"/>
                  </pic:spPr>
                </pic:pic>
              </a:graphicData>
            </a:graphic>
          </wp:inline>
        </w:drawing>
      </w:r>
    </w:p>
    <w:p>
      <w:r>
        <w:rPr>
          <w:sz w:val="22"/>
        </w:rPr>
        <w:t>Recomendação executiva: o CA65926 deve ser retirado de operação para inspeção estrutural completa. Adicionalmente, recomenda-se revisar o histórico de manutenções entre Fevereiro e Março/2025 para identificar o evento que precedeu o primeiro surto — essa investigação pode revelar uma causa raiz aplicável a futuras intervenções preventivas em outros equipamentos.</w:t>
      </w:r>
    </w:p>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9"/>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1" name="Picture 1"/>
            <wp:cNvGraphicFramePr>
              <a:graphicFrameLocks noChangeAspect="1"/>
            </wp:cNvGraphicFramePr>
            <a:graphic>
              <a:graphicData uri="http://schemas.openxmlformats.org/drawingml/2006/picture">
                <pic:pic>
                  <pic:nvPicPr>
                    <pic:cNvPr id="0" name="timeline_CA65926.png"/>
                    <pic:cNvPicPr/>
                  </pic:nvPicPr>
                  <pic:blipFill>
                    <a:blip r:embed="rId18"/>
                    <a:stretch>
                      <a:fillRect/>
                    </a:stretch>
                  </pic:blipFill>
                  <pic:spPr>
                    <a:xfrm>
                      <a:off x="0" y="0"/>
                      <a:ext cx="5029200" cy="3233057"/>
                    </a:xfrm>
                    <a:prstGeom prst="rect"/>
                  </pic:spPr>
                </pic:pic>
              </a:graphicData>
            </a:graphic>
          </wp:inline>
        </w:drawing>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0,96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+343% sobre a heurística operacional tradicional, justificando empiricamente o investimento em modelagem preditiva. A análise de custo (FN=R$50K, FP=R$800) revela que o threshold custo-ótimo (0,51) economiza R$285 milhões no mês de teste em relação ao threshold puramente otimizado por F1, capturando 91% mais Verdadeiros Positivos — em problemas operacionais críticos, este é o regime de operação correto.</w:t>
      </w:r>
    </w:p>
    <w:p>
      <w:r>
        <w:rPr>
          <w:sz w:val="22"/>
        </w:rPr>
        <w:t>A identificação do CA65926 como outlier extremo (taxa DG 98× superior à média semestral; 61,6% em Jun/2025)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Solução robusta para escavadeiras LeTourneau L 1850 — derivado de Sprint 2 (Recall=0,14, PR-AUC=0,01 no modelo geral) e refinado por Sprint 5 (experimento negativo controlado: modelo dedicado piorou métricas devido a distribution shift severo entre meses — variação de 600× na taxa DG entre Fev e Jun). A solução exige (a) feature engineering específica para escavadeira — fingerprint próprio dos top-30 alarmes LeTourneau em vez do top-30 global dominado por caminhões, (b) detecção e tratamento de drift mensal (CUSUM, Page-Hinkley) com re-treinamento dinâmico, e (c) investigação operacional do que mudou entre Mai e Jun reduzindo a taxa DG de 0,36% para 0,002% — possível achado de negócio em si.</w:t>
      </w:r>
    </w:p>
    <w:p>
      <w:pPr>
        <w:pStyle w:val="Commarcadores"/>
      </w:pPr>
      <w:r>
        <w:rPr>
          <w:sz w:val="22"/>
        </w:rPr>
        <w:t>2. Threshold custo-ótimo calibrado por frota — extensão da análise de custo de Sprint 2. As distribuições de probabilidade variam significativamente entre as 4 frotas de caminhão; thresholds independentes por frota podem reduzir ainda mais o custo total operacional além dos R$285M já demonstrados.</w:t>
      </w:r>
    </w:p>
    <w:p>
      <w:pPr>
        <w:pStyle w:val="Commarcadores"/>
      </w:pPr>
      <w:r>
        <w:rPr>
          <w:sz w:val="22"/>
        </w:rPr>
        <w:t>3. Calibração isotônica das probabilidades — derivado do Sprint 3: Brier=0,020 com sobre-estimativa em probabilidades intermediárias devido ao scale_pos_weight=40. Pós-processamento isotônico preservaria o ranking e produziria probabilidades absolutas adequadas para precificação de manutenção e seguros.</w:t>
      </w:r>
    </w:p>
    <w:p>
      <w:pPr>
        <w:pStyle w:val="Commarcadores"/>
      </w:pPr>
      <w:r>
        <w:rPr>
          <w:sz w:val="22"/>
        </w:rPr>
        <w:t>4. Investigação operacional do CA65926 — equipamento com taxa DG de 61,6% em Jun/2025 (98× 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Modelos de série temporal — explorar RNN/LSTM ou Temporal Fusion Transformer sobre a sequência bruta de alarmes para capturar dependências temporais longas que o fingerprint binário top-30 pode estar perdendo, especialmente para escavadeiras.</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