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8"/>
          <w:sz w:val="30"/>
        </w:rPr>
        <w:t>BRENO - LAWSYSTEM</w:t>
      </w:r>
    </w:p>
    <w:p>
      <w:pPr>
        <w:pStyle w:val="Title"/>
        <w:jc w:val="center"/>
      </w:pPr>
      <w:r>
        <w:t>Plano Consolidado de Ajustes Funcionais</w:t>
      </w:r>
    </w:p>
    <w:p>
      <w:pPr>
        <w:pStyle w:val="Subtitle"/>
        <w:jc w:val="center"/>
      </w:pPr>
      <w:r>
        <w:t>Fase 2 - Revisão dos módulos e regras de negócio</w:t>
      </w:r>
    </w:p>
    <w:p>
      <w:pPr>
        <w:spacing w:before="360"/>
        <w:jc w:val="center"/>
      </w:pPr>
      <w:r>
        <w:rPr>
          <w:b/>
          <w:sz w:val="24"/>
        </w:rPr>
        <w:t>Documento para validação do sócio jurídico</w:t>
      </w:r>
    </w:p>
    <w:p>
      <w:pPr>
        <w:spacing w:before="160"/>
        <w:jc w:val="center"/>
      </w:pPr>
      <w:r>
        <w:rPr>
          <w:color w:val="595959"/>
          <w:sz w:val="20"/>
        </w:rPr>
        <w:t>Versão 1.0  |  30 de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0"/>
              </w:rPr>
              <w:t>Status: proposta de escopo e arquitetura para aprovação antes do início das alterações.</w:t>
            </w:r>
          </w:p>
        </w:tc>
      </w:tr>
    </w:tbl>
    <w:p>
      <w:pPr>
        <w:spacing w:before="1700"/>
        <w:jc w:val="center"/>
      </w:pPr>
      <w:r>
        <w:rPr>
          <w:i/>
          <w:color w:val="646464"/>
          <w:sz w:val="18"/>
        </w:rPr>
        <w:t>Baseado nas anotações funcionais do sócio jurídico e no estado consolidado ao final da Fase 1.</w:t>
      </w:r>
    </w:p>
    <w:p>
      <w:r>
        <w:br w:type="page"/>
      </w:r>
    </w:p>
    <w:p>
      <w:pPr>
        <w:pStyle w:val="Heading1"/>
        <w:keepNext/>
      </w:pPr>
      <w:r>
        <w:t>Sumário executivo</w:t>
      </w:r>
    </w:p>
    <w:p>
      <w:pPr>
        <w:pStyle w:val="ListBullet"/>
        <w:spacing w:after="40"/>
      </w:pPr>
      <w:r>
        <w:t>1. Objetivo e contexto</w:t>
      </w:r>
    </w:p>
    <w:p>
      <w:pPr>
        <w:pStyle w:val="ListBullet"/>
        <w:spacing w:after="40"/>
      </w:pPr>
      <w:r>
        <w:t>2. Leitura técnica das anotações</w:t>
      </w:r>
    </w:p>
    <w:p>
      <w:pPr>
        <w:pStyle w:val="ListBullet"/>
        <w:spacing w:after="40"/>
      </w:pPr>
      <w:r>
        <w:t>3. Decisões estruturais recomendadas</w:t>
      </w:r>
    </w:p>
    <w:p>
      <w:pPr>
        <w:pStyle w:val="ListBullet"/>
        <w:spacing w:after="40"/>
      </w:pPr>
      <w:r>
        <w:t>4. Rodadas propostas de entrega</w:t>
      </w:r>
    </w:p>
    <w:p>
      <w:pPr>
        <w:pStyle w:val="ListBullet"/>
        <w:spacing w:after="40"/>
      </w:pPr>
      <w:r>
        <w:t>5. Entregas por módulo</w:t>
      </w:r>
    </w:p>
    <w:p>
      <w:pPr>
        <w:pStyle w:val="ListBullet"/>
        <w:spacing w:after="40"/>
      </w:pPr>
      <w:r>
        <w:t>6. Critérios de aceite e qualidade</w:t>
      </w:r>
    </w:p>
    <w:p>
      <w:pPr>
        <w:pStyle w:val="ListBullet"/>
        <w:spacing w:after="40"/>
      </w:pPr>
      <w:r>
        <w:t>7. Itens adiados ou dependentes de IA</w:t>
      </w:r>
    </w:p>
    <w:p>
      <w:pPr>
        <w:pStyle w:val="ListBullet"/>
        <w:spacing w:after="40"/>
      </w:pPr>
      <w:r>
        <w:t>8. Decisões que o sócio precisa validar</w:t>
      </w:r>
    </w:p>
    <w:p>
      <w:pPr>
        <w:spacing w:before="160"/>
      </w:pPr>
      <w:r>
        <w:rPr>
          <w:b/>
          <w:color w:val="1F4E78"/>
          <w:sz w:val="22"/>
        </w:rPr>
        <w:t>Visão geral</w:t>
      </w:r>
    </w:p>
    <w:p>
      <w:r>
        <w:rPr>
          <w:b/>
        </w:rPr>
        <w:t xml:space="preserve">A Fase 1 foi encerrada como esboço funcional. </w:t>
      </w:r>
      <w:r>
        <w:t>As anotações recebidas representam a evolução natural para a Fase 2, porém várias solicitações dependem de mudanças estruturais no banco, nas permissões e na relação entre clientes, processos, partes, documentos e finanças. Por isso, o trabalho será dividido em rodadas encadeadas, evitando remendos e retrabalho.</w:t>
      </w:r>
    </w:p>
    <w:p>
      <w:pPr>
        <w:pStyle w:val="Heading1"/>
        <w:keepNext/>
      </w:pPr>
      <w:r>
        <w:t>1. Objetivo e contexto</w:t>
      </w:r>
    </w:p>
    <w:p>
      <w:r>
        <w:rPr>
          <w:b/>
        </w:rPr>
        <w:t xml:space="preserve">Objetivo deste documento. </w:t>
      </w:r>
      <w:r>
        <w:t>Traduzir as necessidades jurídicas em entregas técnicas claras, compatíveis com a arquitetura multiempresa já construída, e indicar quais decisões devem ser aprovadas antes de iniciar cada rodada.</w:t>
      </w:r>
    </w:p>
    <w:p>
      <w:pPr>
        <w:pStyle w:val="ListBullet"/>
        <w:spacing w:after="40"/>
      </w:pPr>
      <w:r>
        <w:t>A Fase 1 permanece congelada como referência funcional estável.</w:t>
      </w:r>
    </w:p>
    <w:p>
      <w:pPr>
        <w:pStyle w:val="ListBullet"/>
        <w:spacing w:after="40"/>
      </w:pPr>
      <w:r>
        <w:t>A Fase 2 corrigirá regras provisórias, ampliará os módulos e aplicará permissões reais.</w:t>
      </w:r>
    </w:p>
    <w:p>
      <w:pPr>
        <w:pStyle w:val="ListBullet"/>
        <w:spacing w:after="40"/>
      </w:pPr>
      <w:r>
        <w:t>Não haverá reescrita total: os módulos e models existentes serão reaproveitados sempre que forem adequados.</w:t>
      </w:r>
    </w:p>
    <w:p>
      <w:pPr>
        <w:pStyle w:val="ListBullet"/>
        <w:spacing w:after="40"/>
      </w:pPr>
      <w:r>
        <w:t>Mudanças de banco serão feitas somente com migrations revisadas e aplicadas de modo seguro em public e tenants.</w:t>
      </w:r>
    </w:p>
    <w:p>
      <w:pPr>
        <w:pStyle w:val="ListBullet"/>
        <w:spacing w:after="40"/>
      </w:pPr>
      <w:r>
        <w:t>Cada rodada terminará com validação técnica, teste manual, commit específico e push controlado.</w:t>
      </w:r>
    </w:p>
    <w:p>
      <w:pPr>
        <w:pStyle w:val="Heading1"/>
        <w:keepNext/>
      </w:pPr>
      <w:r>
        <w:t>2. Leitura técnica das anotações</w:t>
      </w:r>
    </w:p>
    <w:p>
      <w:r>
        <w:rPr>
          <w:b/>
        </w:rPr>
        <w:t xml:space="preserve">Conclusão principal. </w:t>
      </w:r>
      <w:r>
        <w:t>As solicitações são coerentes com um sistema jurídico profissional, mas não devem ser tratadas como uma única lista de ajustes visuais. Elas formam sete blocos de produto com dependências claras.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33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Papel no projeto</w:t>
            </w:r>
          </w:p>
        </w:tc>
        <w:tc>
          <w:tcPr>
            <w:tcW w:type="dxa" w:w="33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Leitura técnica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Permissões e perfis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Pré-requisito</w:t>
            </w:r>
          </w:p>
        </w:tc>
        <w:tc>
          <w:tcPr>
            <w:tcW w:type="dxa" w:w="56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Define o que administrador, financeiro e usuários limitados podem visualizar ou executar.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Clientes, processos e partes</w:t>
            </w:r>
          </w:p>
        </w:tc>
        <w:tc>
          <w:tcPr>
            <w:tcW w:type="dxa" w:w="194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Núcleo jurídico</w:t>
            </w:r>
          </w:p>
        </w:tc>
        <w:tc>
          <w:tcPr>
            <w:tcW w:type="dxa" w:w="561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Corrige a relação entre múltiplos clientes, participantes, advogados, andamentos e apensos.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Infraestrutura transversal</w:t>
            </w:r>
          </w:p>
        </w:tc>
        <w:tc>
          <w:tcPr>
            <w:tcW w:type="dxa" w:w="56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Sustenta anexos de clientes, processos, andamentos, lançamentos e solicitações.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Agenda e tarefas</w:t>
            </w:r>
          </w:p>
        </w:tc>
        <w:tc>
          <w:tcPr>
            <w:tcW w:type="dxa" w:w="194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Operação diária</w:t>
            </w:r>
          </w:p>
        </w:tc>
        <w:tc>
          <w:tcPr>
            <w:tcW w:type="dxa" w:w="561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 prazos processuais, calendário e delegação de trabalho.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Núcleo financeiro</w:t>
            </w:r>
          </w:p>
        </w:tc>
        <w:tc>
          <w:tcPr>
            <w:tcW w:type="dxa" w:w="56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Exige recorrência, liquidação, previsão, anexos, custas e solicitações de pagamento.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e análise</w:t>
            </w:r>
          </w:p>
        </w:tc>
        <w:tc>
          <w:tcPr>
            <w:tcW w:type="dxa" w:w="194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Camada analítica</w:t>
            </w:r>
          </w:p>
        </w:tc>
        <w:tc>
          <w:tcPr>
            <w:tcW w:type="dxa" w:w="561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Depende de dados processuais, financeiros e de atividade já confiáveis.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Assistente e laboratório com IA</w:t>
            </w:r>
          </w:p>
        </w:tc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Evolução avançada</w:t>
            </w:r>
          </w:p>
        </w:tc>
        <w:tc>
          <w:tcPr>
            <w:tcW w:type="dxa" w:w="56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Depende de documentos, segurança, contexto processual e controle de uso.</w:t>
            </w:r>
          </w:p>
        </w:tc>
      </w:tr>
    </w:tbl>
    <w:p>
      <w:pPr>
        <w:spacing w:after="0"/>
      </w:pPr>
    </w:p>
    <w:p>
      <w:r>
        <w:rPr>
          <w:b/>
        </w:rPr>
        <w:t xml:space="preserve">Dependências que orientam a ordem: </w:t>
      </w:r>
      <w:r>
        <w:t>permissões vêm antes de ocultar ou liberar dados; a modelagem de partes vem antes de clientes relacionados; andamentos vêm antes do contador de inatividade; prazos vêm antes da integração com agenda; o financeiro básico vem antes de gráficos e solicitações; o registro de atividade vem antes do painel do gestor.</w:t>
      </w:r>
    </w:p>
    <w:p>
      <w:pPr>
        <w:pStyle w:val="Heading1"/>
        <w:keepNext/>
      </w:pPr>
      <w:r>
        <w:t>3. Decisões estruturais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Recomendação técnica</w:t>
            </w:r>
          </w:p>
        </w:tc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Motivo e efeito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Cliente e processo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Permitir vários clientes representados no mesmo processo por uma relação própria. Manter, se necessário, o cliente principal apenas como compatibilidade temporária.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Um processo pode representar X e Y sem duplicar o processo. Ele aparecerá nas pastas de ambos.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D2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Clientes relacionados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Derivar automaticamente os clientes relacionados pelos processos compartilhados; não criar uma relação manual cliente-cliente.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Evita inconsistências e mostra exatamente em qual processo existe a relação.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D3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Partes processuais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Criar participantes vinculados ao processo, com papel processual e indicação de representação pelo escritório.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Permite múltiplos autores, réus, terceiros e papéis diferentes no mesmo processo.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D4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Advogados e autoridades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Advogado deve ser representante da parte, com OAB, telefone e e-mail. Juiz deve ser autoridade do processo, não parte.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Mantém a terminologia jurídica correta e possibilita vários advogados por parte.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D5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Fase, status e andamento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Separar: fase processual; status atual; histórico de status; andamentos cronológicos com anexos.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Evita misturar etapas, situação atual e acontecimentos do processo.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D6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Tempo sem movimentação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Calcular a partir da data do último andamento, sem salvar um contador que envelhece no banco.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 valor fica sempre correto e pode ser usado em filtros do painel.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D7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Apensos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Usar relação processo-processo com processo principal, processo relacionado e tipo de vínculo.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Permite agravos, incidentes e outros autos relacionados sem duplicar informações.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D8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Documentos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Criar uma infraestrutura comum de arquivos, com vínculos específicos por módulo, metadados, autor e data.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Evita soluções diferentes para cada tela e prepara armazenamento seguro em produção.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D9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Novo cliente durante processo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Exibir botão “Novo cliente” ao lado do campo. Preferência: criação rápida em modal; alternativa: abrir nova aba com retorno ao processo.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Não misturar uma ação dentro das opções do select e não perder dados já preenchidos.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D10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Cliente x processo nos formulários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Filtrar processos após selecionar o cliente e validar novamente no servidor.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Corrige o erro geral apontado: cliente A não poderá ser associado ao processo de B.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D11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Perfis e permissões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Manter papel técnico de acesso separado do cargo profissional. “Perfil mestre” será “Administrador do escritório”.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Evita usar “advogado” ou “gerente” como regra fixa de segurança e reaproveita a base de permissões já criada.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D12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Prazos e agenda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Um prazo processual deve gerar ou atualizar um compromisso de agenda por serviço transacional, sem duplicação independente.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Mudanças no prazo permanecem sincronizadas com o calendário.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D13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Financeiro realizado x previsto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Lançamentos começam pendentes, salvo marcação de pagamento/recebimento imediato. Saldo usa apenas liquidados; previsões aparecem separadamente.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Distingue caixa real de valores aguardados.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D14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Recorrência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Criar regra de recorrência com periodicidade e, quando aplicável, data final ou número de parcelas.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Atende mensalidades, salários, aluguel e parcelas sem confundir recorrente indefinido com parcelado.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D15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Solicitações de pagamento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Criar fluxo separado para pagamento e reembolso, com solicitante, vínculo, arquivo, aprovação, pagamento e comprovante.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Usuários comuns acessam o Financeiro sem visualizar os números gerais do escritório.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D16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Honorários advocatícios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Implementar acompanhamento manual primeiro; identificação automática por IA somente em rodada posterior.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Entrega valor antes da IA e evita depender de leitura automática ainda não estruturada.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D17</w:t>
            </w:r>
          </w:p>
        </w:tc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Laboratório</w:t>
            </w:r>
          </w:p>
        </w:tc>
        <w:tc>
          <w:tcPr>
            <w:tcW w:type="dxa" w:w="35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Trazer a interface para dentro do processo, mas manter o app/serviço separado internamente.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 experiência fica contextual sem perder modularidade técnica.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D18</w:t>
            </w:r>
          </w:p>
        </w:tc>
        <w:tc>
          <w:tcPr>
            <w:tcW w:type="dxa" w:w="165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Painel do gestor</w:t>
            </w:r>
          </w:p>
        </w:tc>
        <w:tc>
          <w:tcPr>
            <w:tcW w:type="dxa" w:w="352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Criar registro de atividades antes de exibir “toda a atividade do dia” por usuário.</w:t>
            </w:r>
          </w:p>
        </w:tc>
        <w:tc>
          <w:tcPr>
            <w:tcW w:type="dxa" w:w="432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Sem trilha de auditoria, a tela seria incompleta ou baseada em inferências frágeis.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Rodadas propostas de entrega</w:t>
      </w:r>
    </w:p>
    <w:p>
      <w:r>
        <w:rPr>
          <w:b/>
        </w:rPr>
        <w:t xml:space="preserve">A ordem abaixo é recomendada. </w:t>
      </w:r>
      <w:r>
        <w:t>Ela reduz retrabalho e permite que o sócio valide cada conjunto de regras antes de avançar.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Rodada</w:t>
            </w:r>
          </w:p>
        </w:tc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Entregas principais</w:t>
            </w:r>
          </w:p>
        </w:tc>
        <w:tc>
          <w:tcPr>
            <w:tcW w:type="dxa" w:w="25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2.1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Fundação de acesso e integridade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Aplicar permissões nas views; corrigir perfil e senha; foto de usuário; filtro cliente-processo em todos os formulários; base comum de anexos.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Perfis realmente diferentes, vínculos válidos e base segura para os módulos seguintes.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2.2</w:t>
            </w:r>
          </w:p>
        </w:tc>
        <w:tc>
          <w:tcPr>
            <w:tcW w:type="dxa" w:w="201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Clientes e Processos - núcleo</w:t>
            </w:r>
          </w:p>
        </w:tc>
        <w:tc>
          <w:tcPr>
            <w:tcW w:type="dxa" w:w="460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Documentos do cliente; criar processo a partir do cliente; múltiplos clientes; edição; partes e representantes; andamentos com anexos; fases, status e histórico; apensos; contador de inatividade.</w:t>
            </w:r>
          </w:p>
        </w:tc>
        <w:tc>
          <w:tcPr>
            <w:tcW w:type="dxa" w:w="288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Pasta processual juridicamente coerente e sem duplicação de processos.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2.3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Agenda e Tarefas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Calendário mensal; ordem “Hoje” antes de “Próximos 7 dias”; tipos e cores; sincronização de prazos; delegação; visão geral por usuário para administradores habilitados.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Rotina operacional integrada ao processo.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2.4</w:t>
            </w:r>
          </w:p>
        </w:tc>
        <w:tc>
          <w:tcPr>
            <w:tcW w:type="dxa" w:w="201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Financeiro - núcleo do escritório</w:t>
            </w:r>
          </w:p>
        </w:tc>
        <w:tc>
          <w:tcPr>
            <w:tcW w:type="dxa" w:w="460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Navegação mensal; categorias por natureza; vencimento condicional; pendência e liquidação; recorrência/parcelas; saldo atual; anexos; gráficos de 6, 12 meses e exercício.</w:t>
            </w:r>
          </w:p>
        </w:tc>
        <w:tc>
          <w:tcPr>
            <w:tcW w:type="dxa" w:w="288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Caixa realizado e previsto com regras consistentes.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2.5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Custas, solicitações e honorários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Saldo de custas por cliente; lançamentos e créditos; pagamento pelo escritório ou cliente; pedidos de pagamento/reembolso; comprovantes; honorários manuais; visibilidade por permissão.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 advogados e financeiro sem expor dados do escritório indevidamente.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2.6</w:t>
            </w:r>
          </w:p>
        </w:tc>
        <w:tc>
          <w:tcPr>
            <w:tcW w:type="dxa" w:w="201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Painel, análises e gestão</w:t>
            </w:r>
          </w:p>
        </w:tc>
        <w:tc>
          <w:tcPr>
            <w:tcW w:type="dxa" w:w="4608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Usuários ativos; movimentações recentes; processos parados; prazos próximos; análise jurídica; restrição dos cards financeiros; painel do gestor apoiado em eventos de atividade.</w:t>
            </w:r>
          </w:p>
        </w:tc>
        <w:tc>
          <w:tcPr>
            <w:tcW w:type="dxa" w:w="288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Gestão baseada em dados confiáveis.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Rodada 2.7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Assistente e Laboratório por processo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Painel lateral retrátil; conversa contextual; busca em documentos autorizados; geração e edição assistida de peças; limites, logs e segurança de IA.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Camada avançada, iniciada somente após a consolidação dos dados e permissões.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Entregas por módulo</w:t>
      </w:r>
    </w:p>
    <w:p>
      <w:pPr>
        <w:pStyle w:val="Heading2"/>
        <w:keepNext/>
      </w:pPr>
      <w:r>
        <w:t>5.1 Clientes</w:t>
      </w:r>
    </w:p>
    <w:p>
      <w:pPr>
        <w:pStyle w:val="ListBullet"/>
        <w:spacing w:after="40"/>
      </w:pPr>
      <w:r>
        <w:t>Upload e listagem de documentos do cliente, com tipo, descrição, data e usuário responsável.</w:t>
      </w:r>
    </w:p>
    <w:p>
      <w:pPr>
        <w:pStyle w:val="ListBullet"/>
        <w:spacing w:after="40"/>
      </w:pPr>
      <w:r>
        <w:t>Botão para criar processo a partir da pasta do cliente, com o cliente já preenchido.</w:t>
      </w:r>
    </w:p>
    <w:p>
      <w:pPr>
        <w:pStyle w:val="ListBullet"/>
        <w:spacing w:after="40"/>
      </w:pPr>
      <w:r>
        <w:t>Aba “Clientes relacionados”, calculada pelos processos compartilhados e com indicação do processo que gera a relação.</w:t>
      </w:r>
    </w:p>
    <w:p>
      <w:pPr>
        <w:pStyle w:val="ListBullet"/>
        <w:spacing w:after="40"/>
      </w:pPr>
      <w:r>
        <w:t>Processos compartilhados aparecerão nas pastas dos clientes representados sem criar cópias do processo.</w:t>
      </w:r>
    </w:p>
    <w:p>
      <w:pPr>
        <w:pStyle w:val="Heading2"/>
        <w:keepNext/>
      </w:pPr>
      <w:r>
        <w:t>5.2 Processos</w:t>
      </w:r>
    </w:p>
    <w:p>
      <w:pPr>
        <w:pStyle w:val="ListBullet"/>
        <w:spacing w:after="40"/>
      </w:pPr>
      <w:r>
        <w:t>Botão “Novo cliente” junto ao seletor de cliente, com retorno seguro ao cadastro de processo.</w:t>
      </w:r>
    </w:p>
    <w:p>
      <w:pPr>
        <w:pStyle w:val="ListBullet"/>
        <w:spacing w:after="40"/>
      </w:pPr>
      <w:r>
        <w:t>Edição dos dados do processo.</w:t>
      </w:r>
    </w:p>
    <w:p>
      <w:pPr>
        <w:pStyle w:val="ListBullet"/>
        <w:spacing w:after="40"/>
      </w:pPr>
      <w:r>
        <w:t>Andamentos em linha do tempo cronológica, com anexos e registro do usuário que incluiu cada movimento.</w:t>
      </w:r>
    </w:p>
    <w:p>
      <w:pPr>
        <w:pStyle w:val="ListBullet"/>
        <w:spacing w:after="40"/>
      </w:pPr>
      <w:r>
        <w:t>Cadastro automático do cliente representado como participante do processo, exigindo apenas a definição do papel processual.</w:t>
      </w:r>
    </w:p>
    <w:p>
      <w:pPr>
        <w:pStyle w:val="ListBullet"/>
        <w:spacing w:after="40"/>
      </w:pPr>
      <w:r>
        <w:t>Cadastro de partes contrárias, terceiros, Ministério Público, representantes e autoridades com dados adequados.</w:t>
      </w:r>
    </w:p>
    <w:p>
      <w:pPr>
        <w:pStyle w:val="ListBullet"/>
        <w:spacing w:after="40"/>
      </w:pPr>
      <w:r>
        <w:t>Visualização das partes em colunas ou grupos dinâmicos no desktop e cartões no celular, sem limitar a quantidade de participantes.</w:t>
      </w:r>
    </w:p>
    <w:p>
      <w:pPr>
        <w:pStyle w:val="ListBullet"/>
        <w:spacing w:after="40"/>
      </w:pPr>
      <w:r>
        <w:t>Aba “Apensos” com navegação entre processos relacionados.</w:t>
      </w:r>
    </w:p>
    <w:p>
      <w:pPr>
        <w:pStyle w:val="ListBullet"/>
        <w:spacing w:after="40"/>
      </w:pPr>
      <w:r>
        <w:t>Fases padronizadas: conhecimento, recursal, cumprimento de sentença, execução e outro.</w:t>
      </w:r>
    </w:p>
    <w:p>
      <w:pPr>
        <w:pStyle w:val="ListBullet"/>
        <w:spacing w:after="40"/>
      </w:pPr>
      <w:r>
        <w:t>Status atual com histórico e lista inicial baseada nas anotações do sócio, organizada para não virar uma lista confusa.</w:t>
      </w:r>
    </w:p>
    <w:p>
      <w:pPr>
        <w:pStyle w:val="ListBullet"/>
        <w:spacing w:after="40"/>
      </w:pPr>
      <w:r>
        <w:t>Mostrador de tempo desde o último andamento.</w:t>
      </w:r>
    </w:p>
    <w:p>
      <w:pPr>
        <w:pStyle w:val="ListBullet"/>
        <w:spacing w:after="40"/>
      </w:pPr>
      <w:r>
        <w:t>Barra lateral reservada ao Assistente/Laboratório, ativada apenas na rodada de IA.</w:t>
      </w:r>
    </w:p>
    <w:p>
      <w:pPr>
        <w:pStyle w:val="Heading2"/>
        <w:keepNext/>
      </w:pPr>
      <w:r>
        <w:t>5.3 Agenda</w:t>
      </w:r>
    </w:p>
    <w:p>
      <w:pPr>
        <w:pStyle w:val="ListBullet"/>
        <w:spacing w:after="40"/>
      </w:pPr>
      <w:r>
        <w:t>Manter a listagem e adicionar calendário mensal com marcadores por tipo de compromisso.</w:t>
      </w:r>
    </w:p>
    <w:p>
      <w:pPr>
        <w:pStyle w:val="ListBullet"/>
        <w:spacing w:after="40"/>
      </w:pPr>
      <w:r>
        <w:t>Tipos iniciais: reunião, prazo, audiência, perícia e outros; cores configuráveis futuramente.</w:t>
      </w:r>
    </w:p>
    <w:p>
      <w:pPr>
        <w:pStyle w:val="ListBullet"/>
        <w:spacing w:after="40"/>
      </w:pPr>
      <w:r>
        <w:t>Ordem dos filtros: Hoje, Próximos 7 dias, Vencidos e Todos.</w:t>
      </w:r>
    </w:p>
    <w:p>
      <w:pPr>
        <w:pStyle w:val="ListBullet"/>
        <w:spacing w:after="40"/>
      </w:pPr>
      <w:r>
        <w:t>Prazos de processo passam a aparecer automaticamente na agenda e permanecem sincronizados.</w:t>
      </w:r>
    </w:p>
    <w:p>
      <w:pPr>
        <w:pStyle w:val="Heading2"/>
        <w:keepNext/>
      </w:pPr>
      <w:r>
        <w:t>5.4 Tarefas</w:t>
      </w:r>
    </w:p>
    <w:p>
      <w:pPr>
        <w:pStyle w:val="ListBullet"/>
        <w:spacing w:after="40"/>
      </w:pPr>
      <w:r>
        <w:t>Delegação para outro usuário do mesmo escritório, com responsável, criador, prazo e status.</w:t>
      </w:r>
    </w:p>
    <w:p>
      <w:pPr>
        <w:pStyle w:val="ListBullet"/>
        <w:spacing w:after="40"/>
      </w:pPr>
      <w:r>
        <w:t>Visão administrativa por usuário, disponível ao administrador e a quem receber habilitação.</w:t>
      </w:r>
    </w:p>
    <w:p>
      <w:pPr>
        <w:pStyle w:val="ListBullet"/>
        <w:spacing w:after="40"/>
      </w:pPr>
      <w:r>
        <w:t>Vínculo opcional com cliente e processo, obedecendo ao filtro dependente cliente-processo.</w:t>
      </w:r>
    </w:p>
    <w:p>
      <w:pPr>
        <w:pStyle w:val="Heading2"/>
        <w:keepNext/>
      </w:pPr>
      <w:r>
        <w:t>5.5 Financeiro</w:t>
      </w:r>
    </w:p>
    <w:p>
      <w:pPr>
        <w:pStyle w:val="ListBullet"/>
        <w:spacing w:after="40"/>
      </w:pPr>
      <w:r>
        <w:t>Extrato mensal com navegação para meses anteriores e futuros.</w:t>
      </w:r>
    </w:p>
    <w:p>
      <w:pPr>
        <w:pStyle w:val="ListBullet"/>
        <w:spacing w:after="40"/>
      </w:pPr>
      <w:r>
        <w:t>Filtros na ordem proposta: Todos; Receitas; Despesas; Pagos; Recebidos; A pagar; A receber; Atrasados; Pagamentos solicitados.</w:t>
      </w:r>
    </w:p>
    <w:p>
      <w:pPr>
        <w:pStyle w:val="ListBullet"/>
        <w:spacing w:after="40"/>
      </w:pPr>
      <w:r>
        <w:t>Categorias diferentes para receita e despesa. Custas processuais ficam no fluxo de Custas Judiciais, não nas despesas gerais do escritório.</w:t>
      </w:r>
    </w:p>
    <w:p>
      <w:pPr>
        <w:pStyle w:val="ListBullet"/>
        <w:spacing w:after="40"/>
      </w:pPr>
      <w:r>
        <w:t>Lançamentos únicos, parcelados e recorrentes; vencimento condicional; situação pendente, paga/recebida, atrasada ou cancelada.</w:t>
      </w:r>
    </w:p>
    <w:p>
      <w:pPr>
        <w:pStyle w:val="ListBullet"/>
        <w:spacing w:after="40"/>
      </w:pPr>
      <w:r>
        <w:t>Saldo atual calculado somente com valores realizados, mantendo previsões separadas.</w:t>
      </w:r>
    </w:p>
    <w:p>
      <w:pPr>
        <w:pStyle w:val="ListBullet"/>
        <w:spacing w:after="40"/>
      </w:pPr>
      <w:r>
        <w:t>Anexos de cobrança e comprovante de pagamento.</w:t>
      </w:r>
    </w:p>
    <w:p>
      <w:pPr>
        <w:pStyle w:val="ListBullet"/>
        <w:spacing w:after="40"/>
      </w:pPr>
      <w:r>
        <w:t>Gráficos anuais e janelas móveis de 6 e 12 meses, somente depois de consolidar as regras de liquidação.</w:t>
      </w:r>
    </w:p>
    <w:p>
      <w:pPr>
        <w:pStyle w:val="ListBullet"/>
        <w:spacing w:after="40"/>
      </w:pPr>
      <w:r>
        <w:t>Assinatura do sistema poderá gerar despesa recorrente quando o módulo de cobrança SaaS estiver operacional.</w:t>
      </w:r>
    </w:p>
    <w:p>
      <w:pPr>
        <w:pStyle w:val="ListBullet"/>
        <w:spacing w:after="40"/>
      </w:pPr>
      <w:r>
        <w:t>Custas por cliente: créditos depositados menos valores adiantados pelo escritório; pagamento direto pelo cliente fica registrado, mas não altera seu saldo com o escritório.</w:t>
      </w:r>
    </w:p>
    <w:p>
      <w:pPr>
        <w:pStyle w:val="ListBullet"/>
        <w:spacing w:after="40"/>
      </w:pPr>
      <w:r>
        <w:t>Solicitações de pagamento e reembolso com arquivo obrigatório, processamento pelo financeiro e comprovante visível ao solicitante.</w:t>
      </w:r>
    </w:p>
    <w:p>
      <w:pPr>
        <w:pStyle w:val="ListBullet"/>
        <w:spacing w:after="40"/>
      </w:pPr>
      <w:r>
        <w:t>Honorários advocatícios: controle manual e filtro do administrador; detecção automática por IA será posterior.</w:t>
      </w:r>
    </w:p>
    <w:p>
      <w:pPr>
        <w:pStyle w:val="Heading2"/>
        <w:keepNext/>
      </w:pPr>
      <w:r>
        <w:t>5.6 Painel</w:t>
      </w:r>
    </w:p>
    <w:p>
      <w:pPr>
        <w:pStyle w:val="ListBullet"/>
        <w:spacing w:after="40"/>
      </w:pPr>
      <w:r>
        <w:t>Quantidade de usuários ativos para o administrador.</w:t>
      </w:r>
    </w:p>
    <w:p>
      <w:pPr>
        <w:pStyle w:val="ListBullet"/>
        <w:spacing w:after="40"/>
      </w:pPr>
      <w:r>
        <w:t>Cards financeiros visíveis somente a administradores e usuários habilitados.</w:t>
      </w:r>
    </w:p>
    <w:p>
      <w:pPr>
        <w:pStyle w:val="ListBullet"/>
        <w:spacing w:after="40"/>
      </w:pPr>
      <w:r>
        <w:t>Processos com movimentação nas últimas 24 horas e nos últimos 7 dias.</w:t>
      </w:r>
    </w:p>
    <w:p>
      <w:pPr>
        <w:pStyle w:val="ListBullet"/>
        <w:spacing w:after="40"/>
      </w:pPr>
      <w:r>
        <w:t>Processos sem movimentação por mais de 1, 3 e 6 meses.</w:t>
      </w:r>
    </w:p>
    <w:p>
      <w:pPr>
        <w:pStyle w:val="ListBullet"/>
        <w:spacing w:after="40"/>
      </w:pPr>
      <w:r>
        <w:t>Prazos para hoje, amanhã, até 3 dias e até 5 dias.</w:t>
      </w:r>
    </w:p>
    <w:p>
      <w:pPr>
        <w:pStyle w:val="ListBullet"/>
        <w:spacing w:after="40"/>
      </w:pPr>
      <w:r>
        <w:t>Três áreas: Visão geral; Análise de dados; Painel do gestor.</w:t>
      </w:r>
    </w:p>
    <w:p>
      <w:pPr>
        <w:pStyle w:val="ListBullet"/>
        <w:spacing w:after="40"/>
      </w:pPr>
      <w:r>
        <w:t>Análises de natureza, localidade, status, fase, patrocínio, duração e resultados processuais, condicionadas à qualidade dos dados cadastrados.</w:t>
      </w:r>
    </w:p>
    <w:p>
      <w:pPr>
        <w:pStyle w:val="ListBullet"/>
        <w:spacing w:after="40"/>
      </w:pPr>
      <w:r>
        <w:t>Painel do gestor disponível apenas após existir registro confiável de atividade dos usuários.</w:t>
      </w:r>
    </w:p>
    <w:p>
      <w:pPr>
        <w:pStyle w:val="Heading2"/>
        <w:keepNext/>
      </w:pPr>
      <w:r>
        <w:t>5.7 Configurações e perfis</w:t>
      </w:r>
    </w:p>
    <w:p>
      <w:pPr>
        <w:pStyle w:val="ListBullet"/>
        <w:spacing w:after="40"/>
      </w:pPr>
      <w:r>
        <w:t>Foto de perfil reutilizada no cabeçalho, chat e referências ao usuário.</w:t>
      </w:r>
    </w:p>
    <w:p>
      <w:pPr>
        <w:pStyle w:val="ListBullet"/>
        <w:spacing w:after="40"/>
      </w:pPr>
      <w:r>
        <w:t>Alteração de senha pelo fluxo seguro do Django.</w:t>
      </w:r>
    </w:p>
    <w:p>
      <w:pPr>
        <w:pStyle w:val="ListBullet"/>
        <w:spacing w:after="40"/>
      </w:pPr>
      <w:r>
        <w:t>Aplicação efetiva das permissões já modeladas.</w:t>
      </w:r>
    </w:p>
    <w:p>
      <w:pPr>
        <w:pStyle w:val="ListBullet"/>
        <w:spacing w:after="40"/>
      </w:pPr>
      <w:r>
        <w:t>Separação entre cargo/função profissional e papel técnico de acesso.</w:t>
      </w:r>
    </w:p>
    <w:p>
      <w:pPr>
        <w:pStyle w:val="ListBullet"/>
        <w:spacing w:after="40"/>
      </w:pPr>
      <w:r>
        <w:t>Habilitação de usuários em processos e delegação de tarefas.</w:t>
      </w:r>
    </w:p>
    <w:p>
      <w:pPr>
        <w:pStyle w:val="Heading1"/>
        <w:keepNext/>
      </w:pPr>
      <w:r>
        <w:t>6. Critérios de aceite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508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Condição de aceite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Isolamento</w:t>
            </w:r>
          </w:p>
        </w:tc>
        <w:tc>
          <w:tcPr>
            <w:tcW w:type="dxa" w:w="84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dado de um escritório pode aparecer em outro tenant.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Permissões</w:t>
            </w:r>
          </w:p>
        </w:tc>
        <w:tc>
          <w:tcPr>
            <w:tcW w:type="dxa" w:w="849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Usuários veem apenas módulos, cards, registros e ações autorizados.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Integridade</w:t>
            </w:r>
          </w:p>
        </w:tc>
        <w:tc>
          <w:tcPr>
            <w:tcW w:type="dxa" w:w="84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Servidor rejeita cliente e processo incompatíveis, mesmo que o navegador seja manipulado.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Banco</w:t>
            </w:r>
          </w:p>
        </w:tc>
        <w:tc>
          <w:tcPr>
            <w:tcW w:type="dxa" w:w="849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Toda mudança de model possui migration revisada literalmente antes da aplicação.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Arquivos</w:t>
            </w:r>
          </w:p>
        </w:tc>
        <w:tc>
          <w:tcPr>
            <w:tcW w:type="dxa" w:w="84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Upload com extensão, tamanho, autoria, vínculo e acesso validados.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Fluxos</w:t>
            </w:r>
          </w:p>
        </w:tc>
        <w:tc>
          <w:tcPr>
            <w:tcW w:type="dxa" w:w="849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 válido redireciona; erro preserva campos e exibe mensagem compreensível.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Dados reais</w:t>
            </w:r>
          </w:p>
        </w:tc>
        <w:tc>
          <w:tcPr>
            <w:tcW w:type="dxa" w:w="84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Nenhuma tela usa mocks ou números hardcoded como informação operacional.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Testes</w:t>
            </w:r>
          </w:p>
        </w:tc>
        <w:tc>
          <w:tcPr>
            <w:tcW w:type="dxa" w:w="8496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Cada rodada terá checks, smoke tests, cenários de permissão e validação manual do sócio.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Git</w:t>
            </w:r>
          </w:p>
        </w:tc>
        <w:tc>
          <w:tcPr>
            <w:tcW w:type="dxa" w:w="84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Commits pequenos por tema; staging explícito; push controlado.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Itens adiados ou dependentes de IA</w:t>
      </w:r>
    </w:p>
    <w:p>
      <w:pPr>
        <w:pStyle w:val="ListBullet"/>
        <w:spacing w:after="40"/>
      </w:pPr>
      <w:r>
        <w:t>Identificação automática de honorários em sentenças e acórdãos.</w:t>
      </w:r>
    </w:p>
    <w:p>
      <w:pPr>
        <w:pStyle w:val="ListBullet"/>
        <w:spacing w:after="40"/>
      </w:pPr>
      <w:r>
        <w:t>Geração completa de peças com leitura autônoma de todos os documentos do processo.</w:t>
      </w:r>
    </w:p>
    <w:p>
      <w:pPr>
        <w:pStyle w:val="ListBullet"/>
        <w:spacing w:after="40"/>
      </w:pPr>
      <w:r>
        <w:t>Busca jurídica externa e elaboração de parecer com fontes sem definição prévia de provedores.</w:t>
      </w:r>
    </w:p>
    <w:p>
      <w:pPr>
        <w:pStyle w:val="ListBullet"/>
        <w:spacing w:after="40"/>
      </w:pPr>
      <w:r>
        <w:t>OCR amplo de documentos escaneados.</w:t>
      </w:r>
    </w:p>
    <w:p>
      <w:pPr>
        <w:pStyle w:val="ListBullet"/>
        <w:spacing w:after="40"/>
      </w:pPr>
      <w:r>
        <w:t>Métricas de desempenho individual antes de definir eventos auditáveis e critérios de avaliação.</w:t>
      </w:r>
    </w:p>
    <w:p>
      <w:pPr>
        <w:pStyle w:val="ListBullet"/>
        <w:spacing w:after="40"/>
      </w:pPr>
      <w:r>
        <w:t>Automação financeira por percentual de êxito antes de existir confirmação jurídica e humana do fato gerador.</w:t>
      </w:r>
    </w:p>
    <w:p>
      <w:pPr>
        <w:pStyle w:val="ListBullet"/>
        <w:spacing w:after="40"/>
      </w:pPr>
      <w:r>
        <w:t>Docker, armazenamento de produção, backups, monitoramento e hardening serão tratados na preparação de produção, não no primeiro ciclo funcional da Fase 2.</w:t>
      </w:r>
    </w:p>
    <w:p>
      <w:pPr>
        <w:pStyle w:val="Heading1"/>
        <w:keepNext/>
      </w:pPr>
      <w:r>
        <w:t>8. Decisões que o sócio precisa validar</w:t>
      </w:r>
    </w:p>
    <w:p>
      <w:r>
        <w:rPr>
          <w:b/>
        </w:rPr>
        <w:t xml:space="preserve">As recomendações abaixo são o ponto de partida. </w:t>
      </w:r>
      <w:r>
        <w:t>A implementação deve começar somente após a confirmação dos itens que alteram regras de negócio.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Validação</w:t>
            </w:r>
          </w:p>
        </w:tc>
        <w:tc>
          <w:tcPr>
            <w:tcW w:type="dxa" w:w="33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33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Proposta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Terminologia de acesso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Usar “Administrador do escritório” no lugar de “perfil mestre”; cargo profissional fica separado das permissões.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Novo cliente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Preferência por criação rápida em modal ou abertura em nova aba? Recomendação: modal com retorno automático ao processo.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Partes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que a mesma pessoa pode exercer mais de um papel no mesmo processo e que cada parte pode ter vários advogados.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Juiz e MP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juiz como autoridade do processo e Ministério Público como participante/interveniente, não necessariamente parte fixa.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 processual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que haverá um status atual por vez, com histórico de alterações e lista padrão editável no futuro.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Apensos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relação principal-apenso e possibilidade de outros tipos de vínculo processual.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Tarefas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Delegação simples ou o destinatário poderá aceitar/recusar? Recomendação inicial: delegação direta, com histórico.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Recorrência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periodicidades necessárias: mensal, semanal, anual e parcelamento com número fixo de parcelas.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Vencimento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Recomendação: opcional para lançamento já liquidado; obrigatório para lançamento pendente que deva gerar previsão.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Aprovação financeira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Quem pode aprovar solicitações: qualquer usuário do Financeiro ou apenas administrador/financeiro habilitado?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Custas do cliente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fórmula: crédito depositado - valores pagos pelo escritório; valores pagos diretamente pelo cliente não alteram o saldo.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Honorários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inclusão manual antes da IA e quais campos mínimos serão exigidos.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Painel do gestor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Definir quais ações devem compor a atividade diária e evitar métricas que avaliem pessoas apenas por quantidade.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Arquivos</w:t>
            </w:r>
          </w:p>
        </w:tc>
        <w:tc>
          <w:tcPr>
            <w:tcW w:type="dxa" w:w="7272"/>
            <w:shd w:fill="EAF2F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Definir formatos e limite inicial. Recomendação: PDF, DOCX e imagens comuns, com limite por arquivo e validação de acesso.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Ordem das rodadas</w:t>
            </w:r>
          </w:p>
        </w:tc>
        <w:tc>
          <w:tcPr>
            <w:tcW w:type="dxa" w:w="72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Aprovar a sequência 2.1 a 2.7 ou indicar prioridade comercial diferente.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Conclusão</w:t>
      </w:r>
    </w:p>
    <w:p>
      <w:r>
        <w:rPr>
          <w:b/>
        </w:rPr>
        <w:t xml:space="preserve">Recomendação final. </w:t>
      </w:r>
      <w:r>
        <w:t>Iniciar pela Rodada 2.1, pois permissões, integridade dos vínculos e documentos são pré-requisitos para quase todas as demais solicitações. Depois, consolidar Clientes e Processos antes de avançar para Agenda, Financeiro, Painel e IA. Essa ordem preserva o que já foi construído, reduz retrabalho e permite validação jurídica contínua pelo sócio.</w:t>
      </w:r>
    </w:p>
    <w:p>
      <w:pPr>
        <w:spacing w:before="240"/>
        <w:jc w:val="center"/>
      </w:pPr>
      <w:r>
        <w:rPr>
          <w:b/>
          <w:color w:val="595959"/>
          <w:sz w:val="18"/>
        </w:rPr>
        <w:t>Documento preparado para discussão e aprovação de escopo. Não representa cronograma fechado nem sistema pronto para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BRENO - LAWSYSTEM  |  PLANO DE AJUSTES FUNCIONAIS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Consolidado de Ajustes Funcionais - Fase 2</dc:title>
  <dc:subject>Sistema Jurídico White Label</dc:subject>
  <dc:creator>Equipe Breno - LawSystem</dc:creator>
  <cp:keywords>sistema jurídico, fase 2, roadmap, requisitos, ajustes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