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6B" w:rsidRDefault="00B32FDA" w:rsidP="00FC142A">
      <w:pPr>
        <w:jc w:val="both"/>
      </w:pPr>
      <w:r>
        <w:rPr>
          <w:rFonts w:ascii="Times New Roman" w:hAnsi="Times New Roman" w:cs="Times New Roman"/>
          <w:sz w:val="24"/>
          <w:szCs w:val="24"/>
        </w:rPr>
        <w:t>O instituto Nacional de Pesquisas Espaciais (INPE) de São josé dos Campos, conta com professores a alunos que atuam em pesquisas na área de geração de energia baseada no aproveitamento da radiação solar. No laboratório de Energia Solar existem estudos sobre a eficiência de módulos fotovoltaicos, e as diferentes tecnologias adotadas na geração de corrente elétrica.</w:t>
      </w:r>
    </w:p>
    <w:p w:rsidR="00BF56EA" w:rsidRPr="00FC142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tais estudos, é necessário realizar medições a respeito dos fatores que influenciam os resultados da célula. Dentre os incidentes estão: Espectro solar, temperatura, umidade, limpidez do céu, poluição atmosférica e etc. Todas as informações são coletadas e reunidas para análise, e para verificação de impacto na geração de corrente </w:t>
      </w:r>
      <w:r w:rsidRPr="00FC142A">
        <w:rPr>
          <w:rFonts w:ascii="Times New Roman" w:hAnsi="Times New Roman" w:cs="Times New Roman"/>
          <w:sz w:val="24"/>
          <w:szCs w:val="24"/>
        </w:rPr>
        <w:t>elétrica pelos aparelhos.</w:t>
      </w:r>
    </w:p>
    <w:p w:rsidR="00923476" w:rsidRPr="00FC142A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FC142A">
        <w:rPr>
          <w:rStyle w:val="fontstyle01"/>
          <w:rFonts w:ascii="Times New Roman" w:hAnsi="Times New Roman" w:cs="Times New Roman"/>
        </w:rPr>
        <w:t>O espectro eletromagnético é o conjunto completo de todas as possíveis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>frequências, comprimentos de onda ou energia que a radiação</w:t>
      </w:r>
      <w:r w:rsidRPr="00FC142A">
        <w:rPr>
          <w:rFonts w:ascii="Times New Roman" w:hAnsi="Times New Roman" w:cs="Times New Roman"/>
          <w:color w:val="000000"/>
        </w:rPr>
        <w:br/>
      </w:r>
      <w:r w:rsidRPr="00FC142A">
        <w:rPr>
          <w:rStyle w:val="fontstyle01"/>
          <w:rFonts w:ascii="Times New Roman" w:hAnsi="Times New Roman" w:cs="Times New Roman"/>
        </w:rPr>
        <w:t xml:space="preserve">eletromagnética pode </w:t>
      </w:r>
      <w:r w:rsidR="00FC142A" w:rsidRPr="00FC142A">
        <w:rPr>
          <w:rStyle w:val="fontstyle01"/>
          <w:rFonts w:ascii="Times New Roman" w:hAnsi="Times New Roman" w:cs="Times New Roman"/>
        </w:rPr>
        <w:t xml:space="preserve">apresentar. </w:t>
      </w:r>
      <w:r w:rsidRPr="00FC142A">
        <w:rPr>
          <w:rStyle w:val="fontstyle01"/>
          <w:rFonts w:ascii="Times New Roman" w:hAnsi="Times New Roman" w:cs="Times New Roman"/>
        </w:rPr>
        <w:t>(HARVEY 2009)</w:t>
      </w:r>
    </w:p>
    <w:p w:rsidR="00CA316B" w:rsidRPr="00FC142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FC142A">
        <w:rPr>
          <w:rFonts w:ascii="Times New Roman" w:hAnsi="Times New Roman" w:cs="Times New Roman"/>
          <w:sz w:val="24"/>
          <w:szCs w:val="24"/>
        </w:rPr>
        <w:t>Para medição do espectro solar são utilizados aparelhos denominados espectroradiômetros, que são capazes de mensurar a intensidade com a qual os fótons estão incidindo em dadas faixas de comprimento de onda. Os sensores de espectro são categorizados de acordo com suas faixas de sensibilidade, que diz</w:t>
      </w:r>
      <w:r w:rsidR="00FC142A">
        <w:rPr>
          <w:rFonts w:ascii="Times New Roman" w:hAnsi="Times New Roman" w:cs="Times New Roman"/>
          <w:sz w:val="24"/>
          <w:szCs w:val="24"/>
        </w:rPr>
        <w:t>em</w:t>
      </w:r>
      <w:r w:rsidRPr="00FC142A">
        <w:rPr>
          <w:rFonts w:ascii="Times New Roman" w:hAnsi="Times New Roman" w:cs="Times New Roman"/>
          <w:sz w:val="24"/>
          <w:szCs w:val="24"/>
        </w:rPr>
        <w:t xml:space="preserve"> respeito ao valor mínimo e máximo de comprimento de onda que pode ser compreendido. Os Espectroradiômetros podem, por exemplo, ser referentes à: radiação do espectro vísivel, radiação do espectro infravermelho e etc.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</w:t>
      </w:r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 w:rsidRPr="00BF56EA">
        <w:rPr>
          <w:rFonts w:ascii="Times New Roman" w:hAnsi="Times New Roman" w:cs="Times New Roman"/>
          <w:sz w:val="24"/>
          <w:szCs w:val="24"/>
        </w:rPr>
        <w:t>Apesar dos recursos de combustíveis fósseis não terem acabado ainda, os impactos negativos na saúde, ambiente e sociais são aparentes. No futuro, métodos alternativos para produção de energia em larga escala para suprir nosso padrão de vida, são necessários (Pearce, Joshua 2002)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estudos sobre a incidência de radiação em painéis solares, são significativos os dados do espectro visível e do espectro infravermelho. O comprimento de onda correspondente ao espectro visível se inicia em 400nm e termina em 700nm, já o espectro Infravermelho tem seu início em 700nm e fim em 50000nm e a faixa de interesse para as pesquisas realizadas no laboratório vai de 300 a 1700nm. 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espectroradiômetros em uso pelo laboratório, que fazem as leituras da radiação solar tem a seguinte cobertura:</w:t>
      </w:r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Espectroradiômetro Visível: 300nm a 400nm (Ultravioleta-A e B), 400nm a 700nm (visível completo), 700nm a 1100nm (infravermelho próximo*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A316B" w:rsidRDefault="00B32FDA" w:rsidP="00FC142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Espectroradiômetro Infravermelho próximo: 900nm a 1700nm (infravermelho próximo)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*Na região infravermelha, o sensor visível tende a oferecer leituras ruidosas.</w:t>
      </w:r>
    </w:p>
    <w:p w:rsid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que seja realizada a análise das curvas </w:t>
      </w:r>
      <w:r w:rsidR="00D559C5">
        <w:rPr>
          <w:rFonts w:ascii="Times New Roman" w:hAnsi="Times New Roman" w:cs="Times New Roman"/>
          <w:sz w:val="24"/>
          <w:szCs w:val="24"/>
        </w:rPr>
        <w:t>espectrais</w:t>
      </w:r>
      <w:r>
        <w:rPr>
          <w:rFonts w:ascii="Times New Roman" w:hAnsi="Times New Roman" w:cs="Times New Roman"/>
          <w:sz w:val="24"/>
          <w:szCs w:val="24"/>
        </w:rPr>
        <w:t>, é necessário que os dados de ambos os sensores sejam unificados e tratados de maneira que não percam a confiabilidade.</w:t>
      </w:r>
    </w:p>
    <w:p w:rsidR="00CA316B" w:rsidRPr="00BF56EA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proposto um programa que realize a leitura dos arquivos de saída de ambos os equipamentos e realize o processo de “matching” das curvas, gerando assim um terceiro arquivo que compreende</w:t>
      </w:r>
      <w:r w:rsidR="00D559C5">
        <w:rPr>
          <w:rFonts w:ascii="Times New Roman" w:hAnsi="Times New Roman" w:cs="Times New Roman"/>
          <w:sz w:val="24"/>
          <w:szCs w:val="24"/>
        </w:rPr>
        <w:t>rá o comprimento de onda de 300</w:t>
      </w:r>
      <w:r>
        <w:rPr>
          <w:rFonts w:ascii="Times New Roman" w:hAnsi="Times New Roman" w:cs="Times New Roman"/>
          <w:sz w:val="24"/>
          <w:szCs w:val="24"/>
        </w:rPr>
        <w:t>nm a 1700nm, excluindo a região ruidosa de um dos sensores e fazendo interpolação da fatia em</w:t>
      </w:r>
      <w:r w:rsidR="00FC142A">
        <w:rPr>
          <w:rFonts w:ascii="Times New Roman" w:hAnsi="Times New Roman" w:cs="Times New Roman"/>
          <w:sz w:val="24"/>
          <w:szCs w:val="24"/>
        </w:rPr>
        <w:t xml:space="preserve"> que houver conflitos de dados.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de dados gerado ao fim da execução possuirá somente uma curva espectral, correspondente a uma faixa muito maior do que antes. Espera se que dessa forma, exista </w:t>
      </w:r>
      <w:r w:rsidR="00D559C5">
        <w:rPr>
          <w:rFonts w:ascii="Times New Roman" w:hAnsi="Times New Roman" w:cs="Times New Roman"/>
          <w:sz w:val="24"/>
          <w:szCs w:val="24"/>
        </w:rPr>
        <w:t>facilidade</w:t>
      </w:r>
      <w:r>
        <w:rPr>
          <w:rFonts w:ascii="Times New Roman" w:hAnsi="Times New Roman" w:cs="Times New Roman"/>
          <w:sz w:val="24"/>
          <w:szCs w:val="24"/>
        </w:rPr>
        <w:t xml:space="preserve"> na análise dos dados e na sua manipulação, tendo em vista que as leituras serão realizadas em grande quantidade.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os testes realizados, o melhor horário para realizar as medições de espectro compreende as horas de mais radiação solar, entre 12:00 e 17:00. A quantidade de leituras alcançará volume muito alto, e será necessário organizar os dados para consulta.</w:t>
      </w:r>
    </w:p>
    <w:p w:rsidR="00FC142A" w:rsidRDefault="00FC142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Propõe se um banco de dados relacional que consiga armazenar o espectro solar referente a cada hora de todos os dias de um ano, e </w:t>
      </w:r>
      <w:r w:rsidR="00B32FDA">
        <w:rPr>
          <w:rFonts w:ascii="Times New Roman" w:hAnsi="Times New Roman" w:cs="Times New Roman"/>
          <w:sz w:val="24"/>
          <w:szCs w:val="24"/>
        </w:rPr>
        <w:t>realizar consultas cruzando outras informações com a irradiância e o comprimento de onda do espectro solar armazenado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56EA" w:rsidRDefault="00BF56EA" w:rsidP="00FC142A">
      <w:pPr>
        <w:suppressAutoHyphens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59C5" w:rsidRDefault="00D559C5" w:rsidP="00D559C5">
      <w:pPr>
        <w:suppressAutoHyphens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CAPITULO 2</w:t>
      </w:r>
    </w:p>
    <w:p w:rsidR="00F7679E" w:rsidRDefault="00D559C5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do desenvolvimento, ferramentas de tratamento de dados, de persistência, busca e manipulação</w:t>
      </w:r>
      <w:r w:rsidR="007B06E3">
        <w:rPr>
          <w:rFonts w:ascii="Times New Roman" w:hAnsi="Times New Roman" w:cs="Times New Roman"/>
          <w:sz w:val="24"/>
          <w:szCs w:val="24"/>
        </w:rPr>
        <w:t xml:space="preserve"> de texto</w:t>
      </w:r>
      <w:r>
        <w:rPr>
          <w:rFonts w:ascii="Times New Roman" w:hAnsi="Times New Roman" w:cs="Times New Roman"/>
          <w:sz w:val="24"/>
          <w:szCs w:val="24"/>
        </w:rPr>
        <w:t xml:space="preserve"> serão utilizadas. </w:t>
      </w:r>
      <w:r w:rsidR="00985185">
        <w:rPr>
          <w:rFonts w:ascii="Times New Roman" w:hAnsi="Times New Roman" w:cs="Times New Roman"/>
          <w:sz w:val="24"/>
          <w:szCs w:val="24"/>
        </w:rPr>
        <w:t>A linguagem de programação P</w:t>
      </w:r>
      <w:r w:rsidR="007B06E3">
        <w:rPr>
          <w:rFonts w:ascii="Times New Roman" w:hAnsi="Times New Roman" w:cs="Times New Roman"/>
          <w:sz w:val="24"/>
          <w:szCs w:val="24"/>
        </w:rPr>
        <w:t>ython</w:t>
      </w:r>
      <w:r w:rsidR="00F7679E">
        <w:rPr>
          <w:rFonts w:ascii="Times New Roman" w:hAnsi="Times New Roman" w:cs="Times New Roman"/>
          <w:sz w:val="24"/>
          <w:szCs w:val="24"/>
        </w:rPr>
        <w:t xml:space="preserve"> (v.</w:t>
      </w:r>
      <w:r w:rsidR="007B06E3">
        <w:rPr>
          <w:rFonts w:ascii="Times New Roman" w:hAnsi="Times New Roman" w:cs="Times New Roman"/>
          <w:sz w:val="24"/>
          <w:szCs w:val="24"/>
        </w:rPr>
        <w:t xml:space="preserve"> 3.6) é adequada para esses objetivos, e para que sejam inseridos esses dados em uma base de dados, para depois realizar consultas, será utilizad</w:t>
      </w:r>
      <w:r w:rsidR="00F7679E">
        <w:rPr>
          <w:rFonts w:ascii="Times New Roman" w:hAnsi="Times New Roman" w:cs="Times New Roman"/>
          <w:sz w:val="24"/>
          <w:szCs w:val="24"/>
        </w:rPr>
        <w:t>a a biblioteca psycopg2, que permite comunicação com postgres com comandos</w:t>
      </w:r>
      <w:r w:rsidR="00985185">
        <w:rPr>
          <w:rFonts w:ascii="Times New Roman" w:hAnsi="Times New Roman" w:cs="Times New Roman"/>
          <w:sz w:val="24"/>
          <w:szCs w:val="24"/>
        </w:rPr>
        <w:t xml:space="preserve"> P</w:t>
      </w:r>
      <w:r w:rsidR="00F7679E">
        <w:rPr>
          <w:rFonts w:ascii="Times New Roman" w:hAnsi="Times New Roman" w:cs="Times New Roman"/>
          <w:sz w:val="24"/>
          <w:szCs w:val="24"/>
        </w:rPr>
        <w:t xml:space="preserve">ython. Para melhor interação com usuário a biblioteca </w:t>
      </w:r>
      <w:r w:rsidR="00985185">
        <w:rPr>
          <w:rFonts w:ascii="Times New Roman" w:hAnsi="Times New Roman" w:cs="Times New Roman"/>
          <w:sz w:val="24"/>
          <w:szCs w:val="24"/>
        </w:rPr>
        <w:t>Tkinter.</w:t>
      </w:r>
      <w:r w:rsidR="00F767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2E20" w:rsidRDefault="007E2E20" w:rsidP="007B06E3">
      <w:pPr>
        <w:suppressAutoHyphens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7E2E20" w:rsidRDefault="007E2E20" w:rsidP="00F765DE">
      <w:pPr>
        <w:pStyle w:val="Ttulo1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:rsidR="00B663D4" w:rsidRDefault="00F7679E" w:rsidP="00F765DE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</w:t>
      </w:r>
      <w:r w:rsidR="007B06E3">
        <w:rPr>
          <w:rFonts w:ascii="Times New Roman" w:hAnsi="Times New Roman" w:cs="Times New Roman"/>
          <w:sz w:val="24"/>
          <w:szCs w:val="24"/>
        </w:rPr>
        <w:t>s principais tipos utilizados para a unificação dos arquivos serão de arquivos fontes de texto</w:t>
      </w:r>
      <w:r w:rsidR="007E2E20">
        <w:rPr>
          <w:rFonts w:ascii="Times New Roman" w:hAnsi="Times New Roman" w:cs="Times New Roman"/>
          <w:sz w:val="24"/>
          <w:szCs w:val="24"/>
        </w:rPr>
        <w:t>,</w:t>
      </w:r>
      <w:r w:rsidR="007B06E3">
        <w:rPr>
          <w:rFonts w:ascii="Times New Roman" w:hAnsi="Times New Roman" w:cs="Times New Roman"/>
          <w:sz w:val="24"/>
          <w:szCs w:val="24"/>
        </w:rPr>
        <w:t xml:space="preserve"> ao fazer a le</w:t>
      </w:r>
      <w:r w:rsidR="00985185">
        <w:rPr>
          <w:rFonts w:ascii="Times New Roman" w:hAnsi="Times New Roman" w:cs="Times New Roman"/>
          <w:sz w:val="24"/>
          <w:szCs w:val="24"/>
        </w:rPr>
        <w:t>itura desses documentos, temos s</w:t>
      </w:r>
      <w:r w:rsidR="007B06E3">
        <w:rPr>
          <w:rFonts w:ascii="Times New Roman" w:hAnsi="Times New Roman" w:cs="Times New Roman"/>
          <w:sz w:val="24"/>
          <w:szCs w:val="24"/>
        </w:rPr>
        <w:t>trings como objeto de i</w:t>
      </w:r>
      <w:bookmarkStart w:id="0" w:name="_GoBack"/>
      <w:bookmarkEnd w:id="0"/>
      <w:r w:rsidR="007B06E3">
        <w:rPr>
          <w:rFonts w:ascii="Times New Roman" w:hAnsi="Times New Roman" w:cs="Times New Roman"/>
          <w:sz w:val="24"/>
          <w:szCs w:val="24"/>
        </w:rPr>
        <w:t>nteresse.</w:t>
      </w:r>
      <w:r w:rsidR="00B663D4">
        <w:rPr>
          <w:rFonts w:ascii="Times New Roman" w:hAnsi="Times New Roman" w:cs="Times New Roman"/>
          <w:sz w:val="24"/>
          <w:szCs w:val="24"/>
        </w:rPr>
        <w:t xml:space="preserve"> Python é uma linguagem de programação</w:t>
      </w:r>
      <w:r w:rsidR="001A1E82">
        <w:rPr>
          <w:rFonts w:ascii="Times New Roman" w:hAnsi="Times New Roman" w:cs="Times New Roman"/>
          <w:sz w:val="24"/>
          <w:szCs w:val="24"/>
        </w:rPr>
        <w:t xml:space="preserve"> </w:t>
      </w:r>
      <w:r w:rsidR="001A1E82">
        <w:rPr>
          <w:rFonts w:ascii="Times New Roman" w:hAnsi="Times New Roman" w:cs="Times New Roman"/>
          <w:sz w:val="24"/>
          <w:szCs w:val="24"/>
        </w:rPr>
        <w:t xml:space="preserve">estruturada que promove a </w:t>
      </w:r>
      <w:r w:rsidR="001A1E82">
        <w:rPr>
          <w:rFonts w:ascii="Times New Roman" w:hAnsi="Times New Roman" w:cs="Times New Roman"/>
          <w:sz w:val="24"/>
          <w:szCs w:val="24"/>
        </w:rPr>
        <w:t>legibilidade e a produtividade,</w:t>
      </w:r>
      <w:r w:rsidR="001A1E82">
        <w:rPr>
          <w:rFonts w:ascii="Times New Roman" w:hAnsi="Times New Roman" w:cs="Times New Roman"/>
          <w:sz w:val="24"/>
          <w:szCs w:val="24"/>
        </w:rPr>
        <w:t xml:space="preserve"> </w:t>
      </w:r>
      <w:r w:rsidR="001A1E82">
        <w:rPr>
          <w:rFonts w:ascii="Times New Roman" w:hAnsi="Times New Roman" w:cs="Times New Roman"/>
          <w:sz w:val="24"/>
          <w:szCs w:val="24"/>
        </w:rPr>
        <w:t>além de ser</w:t>
      </w:r>
      <w:r w:rsidR="00B663D4">
        <w:rPr>
          <w:rFonts w:ascii="Times New Roman" w:hAnsi="Times New Roman" w:cs="Times New Roman"/>
          <w:sz w:val="24"/>
          <w:szCs w:val="24"/>
        </w:rPr>
        <w:t xml:space="preserve"> e baseada em C e C++, o que permite que seja tenha alto nivel de compatibilidade. Tendo em vista que a maioria dos sistemas operacionais </w:t>
      </w:r>
      <w:r w:rsidR="001A1E82">
        <w:rPr>
          <w:rFonts w:ascii="Times New Roman" w:hAnsi="Times New Roman" w:cs="Times New Roman"/>
          <w:sz w:val="24"/>
          <w:szCs w:val="24"/>
        </w:rPr>
        <w:t>possui como padrão interpretadores</w:t>
      </w:r>
      <w:proofErr w:type="gramStart"/>
      <w:r w:rsidR="001A1E82">
        <w:rPr>
          <w:rFonts w:ascii="Times New Roman" w:hAnsi="Times New Roman" w:cs="Times New Roman"/>
          <w:sz w:val="24"/>
          <w:szCs w:val="24"/>
        </w:rPr>
        <w:t xml:space="preserve"> </w:t>
      </w:r>
      <w:r w:rsidR="00B663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663D4">
        <w:rPr>
          <w:rFonts w:ascii="Times New Roman" w:hAnsi="Times New Roman" w:cs="Times New Roman"/>
          <w:sz w:val="24"/>
          <w:szCs w:val="24"/>
        </w:rPr>
        <w:t>C++, python se torn</w:t>
      </w:r>
      <w:r w:rsidR="000D6B80">
        <w:rPr>
          <w:rFonts w:ascii="Times New Roman" w:hAnsi="Times New Roman" w:cs="Times New Roman"/>
          <w:sz w:val="24"/>
          <w:szCs w:val="24"/>
        </w:rPr>
        <w:t>a uma ferramenta com multiplas á</w:t>
      </w:r>
      <w:r w:rsidR="00B663D4">
        <w:rPr>
          <w:rFonts w:ascii="Times New Roman" w:hAnsi="Times New Roman" w:cs="Times New Roman"/>
          <w:sz w:val="24"/>
          <w:szCs w:val="24"/>
        </w:rPr>
        <w:t>reas de aplicação.</w:t>
      </w:r>
    </w:p>
    <w:p w:rsidR="00F765DE" w:rsidRDefault="00C33269" w:rsidP="00F765DE">
      <w:pPr>
        <w:suppressAutoHyphens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possui módulos de interpretação de texto potentes, rápidos e que oferecem a possibilidade de trabalhar com substrings. Os dados pertinentes ao desenvolvimento incluem a transformação de Strings em substrings e em valores numéricos. A tranformação e os calculos serão realizados com as bibliotecas padrão de Python para operações leitura e escrita de dados. </w:t>
      </w:r>
    </w:p>
    <w:p w:rsidR="00985185" w:rsidRDefault="00154F1B" w:rsidP="00F765DE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</w:p>
    <w:p w:rsidR="00C33269" w:rsidRDefault="00C33269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54F1B">
        <w:rPr>
          <w:rFonts w:ascii="Times New Roman" w:hAnsi="Times New Roman" w:cs="Times New Roman"/>
          <w:sz w:val="24"/>
          <w:szCs w:val="24"/>
        </w:rPr>
        <w:t xml:space="preserve">O banco de dados </w:t>
      </w:r>
      <w:proofErr w:type="gramStart"/>
      <w:r w:rsidRPr="00154F1B"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 w:rsidRPr="00154F1B">
        <w:rPr>
          <w:rFonts w:ascii="Times New Roman" w:hAnsi="Times New Roman" w:cs="Times New Roman"/>
          <w:sz w:val="24"/>
          <w:szCs w:val="24"/>
        </w:rPr>
        <w:t xml:space="preserve"> é uma ferramenta que armazena informações em um banco de dados relacional gerenciado por </w:t>
      </w:r>
      <w:r w:rsidR="00154F1B">
        <w:rPr>
          <w:rFonts w:ascii="Times New Roman" w:hAnsi="Times New Roman" w:cs="Times New Roman"/>
          <w:sz w:val="24"/>
          <w:szCs w:val="24"/>
        </w:rPr>
        <w:t xml:space="preserve">meio de comandos SQL(Structured Query Language), onde Querys fazem requisições para leitura e inserção de dados em bases estruturadas. As Querys são utilizadas para realizar pesquisas e retornar valores e agrupamentos de dados que </w:t>
      </w:r>
      <w:r w:rsidR="00F765DE">
        <w:rPr>
          <w:rFonts w:ascii="Times New Roman" w:hAnsi="Times New Roman" w:cs="Times New Roman"/>
          <w:sz w:val="24"/>
          <w:szCs w:val="24"/>
        </w:rPr>
        <w:t>cumprar condições específicas.</w:t>
      </w:r>
      <w:r w:rsidR="00154F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65DE" w:rsidRPr="00154F1B" w:rsidRDefault="00F765DE" w:rsidP="00F765D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linguagem de programação python possui uma extensão para integração com </w:t>
      </w:r>
      <w:proofErr w:type="gram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denominada psycopg2, que permite à linguagem acesso a Querys e  à configurações de banco de dados a partir de uma biblioteca externa.</w:t>
      </w:r>
      <w:r w:rsidR="00FF340A">
        <w:rPr>
          <w:rFonts w:ascii="Times New Roman" w:hAnsi="Times New Roman" w:cs="Times New Roman"/>
          <w:sz w:val="24"/>
          <w:szCs w:val="24"/>
        </w:rPr>
        <w:t xml:space="preserve"> A biblioteca será utilizada para realizar a inserção dos dados dos espectrometros em um banco de dados após o tratamento matemático.</w:t>
      </w:r>
    </w:p>
    <w:p w:rsidR="00985185" w:rsidRDefault="00985185" w:rsidP="00F765DE">
      <w:pPr>
        <w:pStyle w:val="PargrafodaLista"/>
        <w:numPr>
          <w:ilvl w:val="0"/>
          <w:numId w:val="3"/>
        </w:numPr>
        <w:suppressAutoHyphens w:val="0"/>
        <w:spacing w:after="0" w:line="360" w:lineRule="auto"/>
        <w:ind w:firstLine="709"/>
        <w:outlineLvl w:val="0"/>
        <w:rPr>
          <w:rFonts w:ascii="Times New Roman" w:hAnsi="Times New Roman" w:cs="Times New Roman"/>
          <w:sz w:val="24"/>
          <w:szCs w:val="24"/>
        </w:rPr>
      </w:pPr>
      <w:r w:rsidRPr="00C33269">
        <w:rPr>
          <w:rFonts w:ascii="Times New Roman" w:hAnsi="Times New Roman" w:cs="Times New Roman"/>
          <w:sz w:val="24"/>
          <w:szCs w:val="24"/>
        </w:rPr>
        <w:t>Tkinter</w:t>
      </w:r>
    </w:p>
    <w:p w:rsidR="00FF340A" w:rsidRDefault="00FF340A" w:rsidP="00FF340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340A">
        <w:rPr>
          <w:rFonts w:ascii="Times New Roman" w:hAnsi="Times New Roman" w:cs="Times New Roman"/>
          <w:sz w:val="24"/>
          <w:szCs w:val="24"/>
        </w:rPr>
        <w:lastRenderedPageBreak/>
        <w:t>Tkinter é uma biblioteca 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F340A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que permite o desenvolvimento de interfaces gráficas simples que seguem o design das janelas do sistema operacional no qual é utilizado. A extensão</w:t>
      </w:r>
      <w:r w:rsidRPr="00FF340A">
        <w:rPr>
          <w:rFonts w:ascii="Times New Roman" w:hAnsi="Times New Roman" w:cs="Times New Roman"/>
          <w:sz w:val="24"/>
          <w:szCs w:val="24"/>
        </w:rPr>
        <w:t xml:space="preserve"> acompanha a instalação padrão </w:t>
      </w:r>
      <w:r>
        <w:rPr>
          <w:rFonts w:ascii="Times New Roman" w:hAnsi="Times New Roman" w:cs="Times New Roman"/>
          <w:sz w:val="24"/>
          <w:szCs w:val="24"/>
        </w:rPr>
        <w:t xml:space="preserve">e será utilizada para que a experiência do usuário seja mais intuitiva e tenha retorno visual de pontos importantes. </w:t>
      </w:r>
    </w:p>
    <w:p w:rsidR="00F46CC8" w:rsidRDefault="00FF340A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as possibilidades de utilização de tkinter, podemos destacar a utilização de interface para seleção, criação e edição de arquivos. A facilidade de leitura e gravação de arquivos em Python com integração com tkinter é um fator significativo para a escolha de </w:t>
      </w:r>
      <w:r w:rsidR="00F46CC8">
        <w:rPr>
          <w:rFonts w:ascii="Times New Roman" w:hAnsi="Times New Roman" w:cs="Times New Roman"/>
          <w:sz w:val="24"/>
          <w:szCs w:val="24"/>
        </w:rPr>
        <w:t>ambas as tecnologias.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MERCADOLOGICA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 DOS REQUISITOS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do projeto será realizado com o intuito de auxiliar em uma das pesquisas sendo realizadas no laboratório de energia solar do INPE de São José dos Campos, pelo aluno de mestrado Guilherme Neves, e seu orientador Dr Waldeir Vilela.</w:t>
      </w:r>
    </w:p>
    <w:p w:rsidR="00F46CC8" w:rsidRDefault="00F46CC8" w:rsidP="00F46CC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aluno Breno César Baiardi Oliveira concordou em </w:t>
      </w:r>
    </w:p>
    <w:p w:rsidR="00D559C5" w:rsidRDefault="00D559C5" w:rsidP="00F46C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3269">
        <w:rPr>
          <w:rFonts w:ascii="Times New Roman" w:hAnsi="Times New Roman" w:cs="Times New Roman"/>
          <w:sz w:val="24"/>
          <w:szCs w:val="24"/>
        </w:rPr>
        <w:br w:type="page"/>
      </w:r>
    </w:p>
    <w:p w:rsidR="00BF56EA" w:rsidRDefault="00BF56E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METODO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 definido consiste no tratamento da região entre 900nm e 950nm, com os dados da ambos os dispositovos. Os dados acima da região espcificada no espectroradiômetro visível serão descartados devido à inconsistência dos resultados gerados.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6DCF97" wp14:editId="3AC1A84D">
            <wp:extent cx="5210175" cy="2796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6260A6" wp14:editId="03228F82">
            <wp:extent cx="5210175" cy="2796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que os sensores possuem resoluções (intervalos entre os pontos) diferentes, sendo o visível com aproximadamente 0.6nm, e o infravermelho com 1nm entre cada ponto, será necessário realizar uma interpolação entre os pontos de ambas as curvas de 900 a 950nm.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i1, i2, e i3, pontos na curva espectral Infravermelha, e v1 e v2 pontos na curva visivel, e assumindo que seus valores x no plano cartesiano cumpram </w:t>
      </w:r>
      <w:proofErr w:type="gramStart"/>
      <w:r>
        <w:rPr>
          <w:rFonts w:ascii="Times New Roman" w:hAnsi="Times New Roman" w:cs="Times New Roman"/>
          <w:sz w:val="24"/>
          <w:szCs w:val="24"/>
        </w:rPr>
        <w:t>i1,</w:t>
      </w:r>
      <w:proofErr w:type="gramEnd"/>
      <w:r>
        <w:rPr>
          <w:rFonts w:ascii="Times New Roman" w:hAnsi="Times New Roman" w:cs="Times New Roman"/>
          <w:sz w:val="24"/>
          <w:szCs w:val="24"/>
        </w:rPr>
        <w:t>v1,i2,v2,i3. O seguinte método será adotado: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Definição da equação da reta entre i1 e i2 (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) e do coeficiente angular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i1x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i1y , i2x , i2y.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 do ponto y correspondente a v1x na reta </w:t>
      </w:r>
      <w:r>
        <w:rPr>
          <w:rFonts w:ascii="Times New Roman" w:hAnsi="Times New Roman" w:cs="Times New Roman"/>
          <w:sz w:val="24"/>
          <w:szCs w:val="24"/>
          <w:u w:val="single"/>
        </w:rPr>
        <w:t>i1i2</w:t>
      </w:r>
      <w:r>
        <w:rPr>
          <w:rFonts w:ascii="Times New Roman" w:hAnsi="Times New Roman" w:cs="Times New Roman"/>
          <w:sz w:val="24"/>
          <w:szCs w:val="24"/>
        </w:rPr>
        <w:t xml:space="preserve"> utilizando a fórmula da reta dado o coeficiente angular.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da média entre o y correspondente descoberto e o v1y,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valor encontrado é escrito no arquivo resultado como com o comprimento de onda v1x,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haja mais valores de v entre i1 e i2, as seguintes atribuições ocorrem: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i1</w:t>
      </w:r>
      <w:proofErr w:type="gramEnd"/>
      <w:r>
        <w:rPr>
          <w:rFonts w:ascii="Times New Roman" w:hAnsi="Times New Roman" w:cs="Times New Roman"/>
          <w:sz w:val="24"/>
          <w:szCs w:val="24"/>
        </w:rPr>
        <w:t>=i2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i2</w:t>
      </w:r>
      <w:proofErr w:type="gramEnd"/>
      <w:r>
        <w:rPr>
          <w:rFonts w:ascii="Times New Roman" w:hAnsi="Times New Roman" w:cs="Times New Roman"/>
          <w:sz w:val="24"/>
          <w:szCs w:val="24"/>
        </w:rPr>
        <w:t>=i3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i3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ponto da lista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v1</w:t>
      </w:r>
      <w:proofErr w:type="gramEnd"/>
      <w:r>
        <w:rPr>
          <w:rFonts w:ascii="Times New Roman" w:hAnsi="Times New Roman" w:cs="Times New Roman"/>
          <w:sz w:val="24"/>
          <w:szCs w:val="24"/>
        </w:rPr>
        <w:t>=v2</w:t>
      </w:r>
    </w:p>
    <w:p w:rsidR="00CA316B" w:rsidRDefault="00B32FDA" w:rsidP="00FC142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v2</w:t>
      </w:r>
      <w:proofErr w:type="gramEnd"/>
      <w:r>
        <w:rPr>
          <w:rFonts w:ascii="Times New Roman" w:hAnsi="Times New Roman" w:cs="Times New Roman"/>
          <w:sz w:val="24"/>
          <w:szCs w:val="24"/>
        </w:rPr>
        <w:t>=próximo número da lista</w:t>
      </w: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476" w:rsidRDefault="00923476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923476">
        <w:rPr>
          <w:rFonts w:ascii="Arial" w:hAnsi="Arial" w:cs="Arial"/>
          <w:color w:val="000000"/>
          <w:sz w:val="24"/>
          <w:szCs w:val="24"/>
        </w:rPr>
        <w:t xml:space="preserve">HARVEY, D. Spectroscopic Methods. In: ______. </w:t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>Analytical chemistry</w:t>
      </w:r>
      <w:r w:rsidRPr="00923476">
        <w:rPr>
          <w:rFonts w:ascii="Arial" w:hAnsi="Arial" w:cs="Arial"/>
          <w:b/>
          <w:bCs/>
          <w:color w:val="000000"/>
        </w:rPr>
        <w:br/>
      </w:r>
      <w:r w:rsidRPr="00923476">
        <w:rPr>
          <w:rFonts w:ascii="Arial" w:hAnsi="Arial" w:cs="Arial"/>
          <w:b/>
          <w:bCs/>
          <w:color w:val="000000"/>
          <w:sz w:val="24"/>
          <w:szCs w:val="24"/>
        </w:rPr>
        <w:t xml:space="preserve">2.0. </w:t>
      </w:r>
      <w:r w:rsidRPr="00923476">
        <w:rPr>
          <w:rFonts w:ascii="Arial" w:hAnsi="Arial" w:cs="Arial"/>
          <w:color w:val="000000"/>
          <w:sz w:val="24"/>
          <w:szCs w:val="24"/>
        </w:rPr>
        <w:t xml:space="preserve">Greencastle: MacGranHill, 2009. </w:t>
      </w:r>
      <w:proofErr w:type="gramStart"/>
      <w:r w:rsidRPr="00923476">
        <w:rPr>
          <w:rFonts w:ascii="Arial" w:hAnsi="Arial" w:cs="Arial"/>
          <w:color w:val="000000"/>
          <w:sz w:val="24"/>
          <w:szCs w:val="24"/>
        </w:rPr>
        <w:t>cap</w:t>
      </w:r>
      <w:proofErr w:type="gramEnd"/>
      <w:r w:rsidRPr="00923476">
        <w:rPr>
          <w:rFonts w:ascii="Arial" w:hAnsi="Arial" w:cs="Arial"/>
          <w:color w:val="000000"/>
          <w:sz w:val="24"/>
          <w:szCs w:val="24"/>
        </w:rPr>
        <w:t xml:space="preserve"> 10, p 543-666. Disponível em: &lt;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http://acad.depauw.edu/harvey_web/eText%20Project/AnalyticalChemistry</w:t>
      </w:r>
      <w:r w:rsidRPr="00923476">
        <w:rPr>
          <w:rFonts w:ascii="Arial" w:hAnsi="Arial" w:cs="Arial"/>
          <w:color w:val="000000"/>
        </w:rPr>
        <w:br/>
      </w:r>
      <w:r w:rsidRPr="00923476">
        <w:rPr>
          <w:rFonts w:ascii="Arial" w:hAnsi="Arial" w:cs="Arial"/>
          <w:color w:val="000000"/>
          <w:sz w:val="24"/>
          <w:szCs w:val="24"/>
        </w:rPr>
        <w:t>2.0.html&gt;. Acesso em: 20 out. 2015.</w:t>
      </w:r>
    </w:p>
    <w:p w:rsidR="00FC142A" w:rsidRDefault="00FC142A" w:rsidP="00FC142A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FC142A" w:rsidRDefault="00FC142A" w:rsidP="00FC142A">
      <w:pPr>
        <w:pStyle w:val="Ttulo1"/>
        <w:jc w:val="both"/>
      </w:pPr>
      <w:r>
        <w:t>Joshua M Pearce, Photovoltaics — a path to sustainable futures.</w:t>
      </w:r>
    </w:p>
    <w:sectPr w:rsidR="00FC142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7068"/>
    <w:multiLevelType w:val="multilevel"/>
    <w:tmpl w:val="05A276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7003D8"/>
    <w:multiLevelType w:val="hybridMultilevel"/>
    <w:tmpl w:val="CA8E34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E70FB"/>
    <w:multiLevelType w:val="hybridMultilevel"/>
    <w:tmpl w:val="1A160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4C03"/>
    <w:multiLevelType w:val="multilevel"/>
    <w:tmpl w:val="AC803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B"/>
    <w:rsid w:val="000D6B80"/>
    <w:rsid w:val="00154F1B"/>
    <w:rsid w:val="001A1E82"/>
    <w:rsid w:val="00431F59"/>
    <w:rsid w:val="007B06E3"/>
    <w:rsid w:val="007E2E20"/>
    <w:rsid w:val="008D18A7"/>
    <w:rsid w:val="00923476"/>
    <w:rsid w:val="00985185"/>
    <w:rsid w:val="00B32FDA"/>
    <w:rsid w:val="00B663D4"/>
    <w:rsid w:val="00BC7EEB"/>
    <w:rsid w:val="00BF56EA"/>
    <w:rsid w:val="00C33269"/>
    <w:rsid w:val="00CA316B"/>
    <w:rsid w:val="00D559C5"/>
    <w:rsid w:val="00DD0C87"/>
    <w:rsid w:val="00F46CC8"/>
    <w:rsid w:val="00F765DE"/>
    <w:rsid w:val="00F7679E"/>
    <w:rsid w:val="00FC142A"/>
    <w:rsid w:val="00F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67A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9E28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67A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character" w:customStyle="1" w:styleId="fontstyle01">
    <w:name w:val="fontstyle01"/>
    <w:basedOn w:val="Fontepargpadro"/>
    <w:rsid w:val="00923476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92347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A656F-A0F5-4B46-B74B-6C9AFC8B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1332</Words>
  <Characters>7195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César Baiardi</dc:creator>
  <cp:lastModifiedBy>Breno César Baiardi</cp:lastModifiedBy>
  <cp:revision>9</cp:revision>
  <dcterms:created xsi:type="dcterms:W3CDTF">2017-03-17T19:32:00Z</dcterms:created>
  <dcterms:modified xsi:type="dcterms:W3CDTF">2017-05-24T10:47:00Z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