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 Trabalho Prático de Teste Baseado em Especificação</w:t>
      </w:r>
    </w:p>
    <w:p>
      <w:pPr>
        <w:pStyle w:val="Subtitle"/>
      </w:pPr>
      <w:r>
        <w:t xml:space="preserve">Validação do método preenche(String str, int size, String stringPreenche)</w:t>
      </w:r>
    </w:p>
    <w:p>
      <w:pPr>
        <w:pStyle w:val="Author"/>
      </w:pPr>
      <w:r>
        <w:t xml:space="preserve">Breno Farias da Silva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relatório descreve o processo de teste da função</w:t>
      </w:r>
      <w:r>
        <w:t xml:space="preserve"> </w:t>
      </w:r>
      <w:r>
        <w:rPr>
          <w:rStyle w:val="VerbatimChar"/>
        </w:rPr>
        <w:t xml:space="preserve">preenche</w:t>
      </w:r>
      <w:r>
        <w:t xml:space="preserve">, responsável por preencher uma string à esquerda até atingir um tamanho especificado, utilizando uma string de preenchimento fornecida. O método recebe três parâmetros: a string original (</w:t>
      </w:r>
      <w:r>
        <w:rPr>
          <w:rStyle w:val="VerbatimChar"/>
        </w:rPr>
        <w:t xml:space="preserve">str</w:t>
      </w:r>
      <w:r>
        <w:t xml:space="preserve">), o tamanho desejado (</w:t>
      </w:r>
      <w:r>
        <w:rPr>
          <w:rStyle w:val="VerbatimChar"/>
        </w:rPr>
        <w:t xml:space="preserve">size</w:t>
      </w:r>
      <w:r>
        <w:t xml:space="preserve">) e a string de preenchimento (</w:t>
      </w:r>
      <w:r>
        <w:rPr>
          <w:rStyle w:val="VerbatimChar"/>
        </w:rPr>
        <w:t xml:space="preserve">stringPreenche</w:t>
      </w:r>
      <w:r>
        <w:t xml:space="preserve">). O relatório é dividido entre os testes baseados em especificação e os testes estruturais utilizando o critério MC/DC, além da análise de cobertura com a ferramenta Jacoco.</w:t>
      </w:r>
    </w:p>
    <w:bookmarkEnd w:id="20"/>
    <w:bookmarkStart w:id="24" w:name="teste-baseado-em-especificação"/>
    <w:p>
      <w:pPr>
        <w:pStyle w:val="Heading2"/>
      </w:pPr>
      <w:r>
        <w:t xml:space="preserve">Teste baseado em especificação</w:t>
      </w:r>
    </w:p>
    <w:bookmarkStart w:id="21" w:name="análise-da-especificação"/>
    <w:p>
      <w:pPr>
        <w:pStyle w:val="Heading3"/>
      </w:pPr>
      <w:r>
        <w:t xml:space="preserve">Análise da especificação</w:t>
      </w:r>
    </w:p>
    <w:p>
      <w:pPr>
        <w:pStyle w:val="FirstParagraph"/>
      </w:pPr>
      <w:r>
        <w:t xml:space="preserve">A especificação define os seguintes comportamentos:</w:t>
      </w:r>
    </w:p>
    <w:p>
      <w:pPr>
        <w:pStyle w:val="Compact"/>
        <w:numPr>
          <w:ilvl w:val="0"/>
          <w:numId w:val="1001"/>
        </w:numPr>
      </w:pPr>
      <w:r>
        <w:t xml:space="preserve">Se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o método retorna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</w:t>
      </w:r>
      <w:r>
        <w:t xml:space="preserve"> </w:t>
      </w:r>
      <w:r>
        <w:rPr>
          <w:rStyle w:val="VerbatimChar"/>
        </w:rPr>
        <w:t xml:space="preserve">stringPreenche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ou vazia, deve ser tratada como um espaço em branco.</w:t>
      </w:r>
    </w:p>
    <w:p>
      <w:pPr>
        <w:pStyle w:val="Compact"/>
        <w:numPr>
          <w:ilvl w:val="0"/>
          <w:numId w:val="1001"/>
        </w:numPr>
      </w:pPr>
      <w:r>
        <w:t xml:space="preserve">Se o tamanho de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for maior ou igual a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o método retorna</w:t>
      </w:r>
      <w:r>
        <w:t xml:space="preserve"> </w:t>
      </w:r>
      <w:r>
        <w:rPr>
          <w:rStyle w:val="VerbatimChar"/>
        </w:rPr>
        <w:t xml:space="preserve">str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Caso contrário, a string é preenchida à esquerda com</w:t>
      </w:r>
      <w:r>
        <w:t xml:space="preserve"> </w:t>
      </w:r>
      <w:r>
        <w:rPr>
          <w:rStyle w:val="VerbatimChar"/>
        </w:rPr>
        <w:t xml:space="preserve">stringPreenche</w:t>
      </w:r>
      <w:r>
        <w:t xml:space="preserve"> </w:t>
      </w:r>
      <w:r>
        <w:t xml:space="preserve">até atingir o tamanho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bookmarkEnd w:id="21"/>
    <w:bookmarkStart w:id="22" w:name="Xb6b36cbd4009f9a7854b1f8cbea89c3bd61e59c"/>
    <w:p>
      <w:pPr>
        <w:pStyle w:val="Heading3"/>
      </w:pPr>
      <w:r>
        <w:t xml:space="preserve">Identificação de partições de equivalência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null</w:t>
      </w:r>
      <w:r>
        <w:t xml:space="preserve"> </w:t>
      </w:r>
      <w:r>
        <w:t xml:space="preserve">→ retorna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Compact"/>
        <w:numPr>
          <w:ilvl w:val="1"/>
          <w:numId w:val="1003"/>
        </w:numPr>
      </w:pPr>
      <w:r>
        <w:t xml:space="preserve">não nula:</w:t>
      </w:r>
    </w:p>
    <w:p>
      <w:pPr>
        <w:pStyle w:val="Compact"/>
        <w:numPr>
          <w:ilvl w:val="2"/>
          <w:numId w:val="1004"/>
        </w:numPr>
      </w:pPr>
      <w:r>
        <w:t xml:space="preserve">vazia:</w:t>
      </w:r>
      <w:r>
        <w:t xml:space="preserve"> </w:t>
      </w:r>
      <w:r>
        <w:rPr>
          <w:rStyle w:val="VerbatimChar"/>
        </w:rPr>
        <w:t xml:space="preserve">""</w:t>
      </w:r>
    </w:p>
    <w:p>
      <w:pPr>
        <w:pStyle w:val="Compact"/>
        <w:numPr>
          <w:ilvl w:val="2"/>
          <w:numId w:val="1004"/>
        </w:numPr>
      </w:pPr>
      <w:r>
        <w:t xml:space="preserve">1 caractere:</w:t>
      </w:r>
      <w:r>
        <w:t xml:space="preserve"> </w:t>
      </w:r>
      <w:r>
        <w:rPr>
          <w:rStyle w:val="VerbatimChar"/>
        </w:rPr>
        <w:t xml:space="preserve">"x"</w:t>
      </w:r>
    </w:p>
    <w:p>
      <w:pPr>
        <w:pStyle w:val="Compact"/>
        <w:numPr>
          <w:ilvl w:val="2"/>
          <w:numId w:val="1004"/>
        </w:numPr>
      </w:pPr>
      <w:r>
        <w:t xml:space="preserve">múltiplos caracteres:</w:t>
      </w:r>
      <w:r>
        <w:t xml:space="preserve"> </w:t>
      </w:r>
      <w:r>
        <w:rPr>
          <w:rStyle w:val="VerbatimChar"/>
        </w:rPr>
        <w:t xml:space="preserve">"abc"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stringPreenche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null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→ tratado como</w:t>
      </w:r>
      <w:r>
        <w:t xml:space="preserve"> </w:t>
      </w:r>
      <w:r>
        <w:rPr>
          <w:rStyle w:val="VerbatimChar"/>
        </w:rPr>
        <w:t xml:space="preserve">" "</w:t>
      </w:r>
    </w:p>
    <w:p>
      <w:pPr>
        <w:pStyle w:val="Compact"/>
        <w:numPr>
          <w:ilvl w:val="1"/>
          <w:numId w:val="1005"/>
        </w:numPr>
      </w:pPr>
      <w:r>
        <w:t xml:space="preserve">não vazia:</w:t>
      </w:r>
    </w:p>
    <w:p>
      <w:pPr>
        <w:pStyle w:val="Compact"/>
        <w:numPr>
          <w:ilvl w:val="2"/>
          <w:numId w:val="1006"/>
        </w:numPr>
      </w:pPr>
      <w:r>
        <w:t xml:space="preserve">1 caractere:</w:t>
      </w:r>
      <w:r>
        <w:t xml:space="preserve"> </w:t>
      </w:r>
      <w:r>
        <w:rPr>
          <w:rStyle w:val="VerbatimChar"/>
        </w:rPr>
        <w:t xml:space="preserve">"*"</w:t>
      </w:r>
    </w:p>
    <w:p>
      <w:pPr>
        <w:pStyle w:val="Compact"/>
        <w:numPr>
          <w:ilvl w:val="2"/>
          <w:numId w:val="1006"/>
        </w:numPr>
      </w:pPr>
      <w:r>
        <w:t xml:space="preserve">mais de 1 caractere:</w:t>
      </w:r>
      <w:r>
        <w:t xml:space="preserve"> </w:t>
      </w:r>
      <w:r>
        <w:rPr>
          <w:rStyle w:val="VerbatimChar"/>
        </w:rPr>
        <w:t xml:space="preserve">"-="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size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menor que</w:t>
      </w:r>
      <w:r>
        <w:t xml:space="preserve"> </w:t>
      </w:r>
      <w:r>
        <w:rPr>
          <w:rStyle w:val="VerbatimChar"/>
        </w:rPr>
        <w:t xml:space="preserve">str.length()</w:t>
      </w:r>
      <w:r>
        <w:t xml:space="preserve"> </w:t>
      </w:r>
      <w:r>
        <w:t xml:space="preserve">→ retorna</w:t>
      </w:r>
      <w:r>
        <w:t xml:space="preserve"> </w:t>
      </w:r>
      <w:r>
        <w:rPr>
          <w:rStyle w:val="VerbatimChar"/>
        </w:rPr>
        <w:t xml:space="preserve">str</w:t>
      </w:r>
    </w:p>
    <w:p>
      <w:pPr>
        <w:pStyle w:val="Compact"/>
        <w:numPr>
          <w:ilvl w:val="1"/>
          <w:numId w:val="1007"/>
        </w:numPr>
      </w:pPr>
      <w:r>
        <w:t xml:space="preserve">igual a</w:t>
      </w:r>
      <w:r>
        <w:t xml:space="preserve"> </w:t>
      </w:r>
      <w:r>
        <w:rPr>
          <w:rStyle w:val="VerbatimChar"/>
        </w:rPr>
        <w:t xml:space="preserve">str.length()</w:t>
      </w:r>
      <w:r>
        <w:t xml:space="preserve"> </w:t>
      </w:r>
      <w:r>
        <w:t xml:space="preserve">→ retorna</w:t>
      </w:r>
      <w:r>
        <w:t xml:space="preserve"> </w:t>
      </w:r>
      <w:r>
        <w:rPr>
          <w:rStyle w:val="VerbatimChar"/>
        </w:rPr>
        <w:t xml:space="preserve">str</w:t>
      </w:r>
    </w:p>
    <w:p>
      <w:pPr>
        <w:pStyle w:val="Compact"/>
        <w:numPr>
          <w:ilvl w:val="1"/>
          <w:numId w:val="1007"/>
        </w:numPr>
      </w:pPr>
      <w:r>
        <w:t xml:space="preserve">maior que</w:t>
      </w:r>
      <w:r>
        <w:t xml:space="preserve"> </w:t>
      </w:r>
      <w:r>
        <w:rPr>
          <w:rStyle w:val="VerbatimChar"/>
        </w:rPr>
        <w:t xml:space="preserve">str.length()</w:t>
      </w:r>
      <w:r>
        <w:t xml:space="preserve">:</w:t>
      </w:r>
    </w:p>
    <w:p>
      <w:pPr>
        <w:pStyle w:val="Compact"/>
        <w:numPr>
          <w:ilvl w:val="2"/>
          <w:numId w:val="1008"/>
        </w:numPr>
      </w:pPr>
      <w:r>
        <w:t xml:space="preserve">diferença de 1 caractere</w:t>
      </w:r>
    </w:p>
    <w:p>
      <w:pPr>
        <w:pStyle w:val="Compact"/>
        <w:numPr>
          <w:ilvl w:val="2"/>
          <w:numId w:val="1008"/>
        </w:numPr>
      </w:pPr>
      <w:r>
        <w:t xml:space="preserve">diferença de múltiplos caracteres (para avaliar padrão de repetição)</w:t>
      </w:r>
    </w:p>
    <w:bookmarkEnd w:id="22"/>
    <w:bookmarkStart w:id="23" w:name="casos-de-teste-derivados"/>
    <w:p>
      <w:pPr>
        <w:pStyle w:val="Heading3"/>
      </w:pPr>
      <w:r>
        <w:t xml:space="preserve">Casos de teste derivados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5"/>
        <w:gridCol w:w="871"/>
        <w:gridCol w:w="633"/>
        <w:gridCol w:w="1425"/>
        <w:gridCol w:w="1267"/>
        <w:gridCol w:w="32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Caso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stringPreenche</w:t>
            </w:r>
          </w:p>
        </w:tc>
        <w:tc>
          <w:tcPr/>
          <w:p>
            <w:pPr>
              <w:pStyle w:val="Compact"/>
            </w:pPr>
            <w:r>
              <w:t xml:space="preserve">Esperado</w:t>
            </w:r>
          </w:p>
        </w:tc>
        <w:tc>
          <w:tcPr/>
          <w:p>
            <w:pPr>
              <w:pStyle w:val="Compact"/>
            </w:pPr>
            <w:r>
              <w:t xml:space="preserve">Justificativa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“-”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  <w:r>
              <w:t xml:space="preserve"> </w:t>
            </w:r>
            <w:r>
              <w:t xml:space="preserve">é</w:t>
            </w:r>
            <w:r>
              <w:t xml:space="preserve"> </w:t>
            </w:r>
            <w:r>
              <w:rPr>
                <w:rStyle w:val="VerbatimChar"/>
              </w:rP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""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“.”</w:t>
            </w:r>
          </w:p>
        </w:tc>
        <w:tc>
          <w:tcPr/>
          <w:p>
            <w:pPr>
              <w:pStyle w:val="Compact"/>
            </w:pPr>
            <w:r>
              <w:t xml:space="preserve">“…”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  <w:r>
              <w:t xml:space="preserve"> </w:t>
            </w:r>
            <w:r>
              <w:t xml:space="preserve">vazia, preenchida completamente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“a”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“-”</w:t>
            </w:r>
          </w:p>
        </w:tc>
        <w:tc>
          <w:tcPr/>
          <w:p>
            <w:pPr>
              <w:pStyle w:val="Compact"/>
            </w:pPr>
            <w:r>
              <w:t xml:space="preserve">“–a”</w:t>
            </w:r>
          </w:p>
        </w:tc>
        <w:tc>
          <w:tcPr/>
          <w:p>
            <w:pPr>
              <w:pStyle w:val="Compact"/>
            </w:pPr>
            <w:r>
              <w:t xml:space="preserve">preenchimento de 2 com 1 caractere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“*”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tamanho já suficiente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“*”</w:t>
            </w:r>
          </w:p>
        </w:tc>
        <w:tc>
          <w:tcPr/>
          <w:p>
            <w:pPr>
              <w:pStyle w:val="Compact"/>
            </w:pPr>
            <w:r>
              <w:t xml:space="preserve">“*abc”</w:t>
            </w:r>
          </w:p>
        </w:tc>
        <w:tc>
          <w:tcPr/>
          <w:p>
            <w:pPr>
              <w:pStyle w:val="Compact"/>
            </w:pPr>
            <w:r>
              <w:t xml:space="preserve">precisa de 1 caractere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“-=”</w:t>
            </w:r>
          </w:p>
        </w:tc>
        <w:tc>
          <w:tcPr/>
          <w:p>
            <w:pPr>
              <w:pStyle w:val="Compact"/>
            </w:pPr>
            <w:r>
              <w:t xml:space="preserve">“-=-abc”</w:t>
            </w:r>
          </w:p>
        </w:tc>
        <w:tc>
          <w:tcPr/>
          <w:p>
            <w:pPr>
              <w:pStyle w:val="Compact"/>
            </w:pPr>
            <w:r>
              <w:t xml:space="preserve">padrão de preenchimento longo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""</w:t>
            </w:r>
          </w:p>
        </w:tc>
        <w:tc>
          <w:tcPr/>
          <w:p>
            <w:pPr>
              <w:pStyle w:val="Compact"/>
            </w:pPr>
            <w:r>
              <w:t xml:space="preserve">” abc”</w:t>
            </w:r>
          </w:p>
        </w:tc>
        <w:tc>
          <w:tcPr/>
          <w:p>
            <w:pPr>
              <w:pStyle w:val="Compact"/>
            </w:pPr>
            <w:r>
              <w:t xml:space="preserve">stringPreenche vazia →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” abc”</w:t>
            </w:r>
          </w:p>
        </w:tc>
        <w:tc>
          <w:tcPr/>
          <w:p>
            <w:pPr>
              <w:pStyle w:val="Compact"/>
            </w:pPr>
            <w:r>
              <w:t xml:space="preserve">stringPreenche null →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“abcdef”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“#”</w:t>
            </w:r>
          </w:p>
        </w:tc>
        <w:tc>
          <w:tcPr/>
          <w:p>
            <w:pPr>
              <w:pStyle w:val="Compact"/>
            </w:pPr>
            <w:r>
              <w:t xml:space="preserve">“abcdef”</w:t>
            </w:r>
          </w:p>
        </w:tc>
        <w:tc>
          <w:tcPr/>
          <w:p>
            <w:pPr>
              <w:pStyle w:val="Compact"/>
            </w:pPr>
            <w:r>
              <w:t xml:space="preserve">já tem tamanho maior que size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“123”</w:t>
            </w:r>
          </w:p>
        </w:tc>
        <w:tc>
          <w:tcPr/>
          <w:p>
            <w:pPr>
              <w:pStyle w:val="Compact"/>
            </w:pPr>
            <w:r>
              <w:t xml:space="preserve">“1231231abc”</w:t>
            </w:r>
          </w:p>
        </w:tc>
        <w:tc>
          <w:tcPr/>
          <w:p>
            <w:pPr>
              <w:pStyle w:val="Compact"/>
            </w:pPr>
            <w:r>
              <w:t xml:space="preserve">múltiplos preenchimentos + truncamento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“abc”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” ”</w:t>
            </w:r>
          </w:p>
        </w:tc>
        <w:tc>
          <w:tcPr/>
          <w:p>
            <w:pPr>
              <w:pStyle w:val="Compact"/>
            </w:pPr>
            <w:r>
              <w:t xml:space="preserve">” abc”</w:t>
            </w:r>
          </w:p>
        </w:tc>
        <w:tc>
          <w:tcPr/>
          <w:p>
            <w:pPr>
              <w:pStyle w:val="Compact"/>
            </w:pPr>
            <w:r>
              <w:t xml:space="preserve">espaço explícito como preenchimento</w:t>
            </w:r>
          </w:p>
        </w:tc>
      </w:tr>
    </w:tbl>
    <w:bookmarkEnd w:id="23"/>
    <w:bookmarkEnd w:id="24"/>
    <w:bookmarkStart w:id="31" w:name="teste-estrutural-mcdc"/>
    <w:p>
      <w:pPr>
        <w:pStyle w:val="Heading2"/>
      </w:pPr>
      <w:r>
        <w:t xml:space="preserve">Teste estrutural (MC/DC)</w:t>
      </w:r>
    </w:p>
    <w:bookmarkStart w:id="25" w:name="X98d4beb437c55bf2a109073f161396dbc797eeb"/>
    <w:p>
      <w:pPr>
        <w:pStyle w:val="Heading3"/>
      </w:pPr>
      <w:r>
        <w:t xml:space="preserve">Passo 1: Definir as condições atômicas do método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C1:</w:t>
      </w:r>
      <w:r>
        <w:t xml:space="preserve"> </w:t>
      </w:r>
      <w:r>
        <w:rPr>
          <w:rStyle w:val="VerbatimChar"/>
        </w:rPr>
        <w:t xml:space="preserve">str == null</w:t>
      </w:r>
      <w:r>
        <w:t xml:space="preserve"> </w:t>
      </w:r>
      <w:r>
        <w:t xml:space="preserve">(true/false)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C2:</w:t>
      </w:r>
      <w:r>
        <w:t xml:space="preserve"> </w:t>
      </w:r>
      <w:r>
        <w:rPr>
          <w:rStyle w:val="VerbatimChar"/>
        </w:rPr>
        <w:t xml:space="preserve">stringPreenche == null</w:t>
      </w:r>
      <w:r>
        <w:t xml:space="preserve"> </w:t>
      </w:r>
      <w:r>
        <w:t xml:space="preserve">(true/false)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C3:</w:t>
      </w:r>
      <w:r>
        <w:t xml:space="preserve"> </w:t>
      </w:r>
      <w:r>
        <w:rPr>
          <w:rStyle w:val="VerbatimChar"/>
        </w:rPr>
        <w:t xml:space="preserve">stringPreenche.isEmpty()</w:t>
      </w:r>
      <w:r>
        <w:t xml:space="preserve"> </w:t>
      </w:r>
      <w:r>
        <w:t xml:space="preserve">(true/false) — só avaliada se</w:t>
      </w:r>
      <w:r>
        <w:t xml:space="preserve"> </w:t>
      </w:r>
      <w:r>
        <w:rPr>
          <w:rStyle w:val="VerbatimChar"/>
        </w:rPr>
        <w:t xml:space="preserve">C2 = false</w:t>
      </w:r>
      <w:r>
        <w:t xml:space="preserve">, mas para a tabela verdade, considerada independente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C4:</w:t>
      </w:r>
      <w:r>
        <w:t xml:space="preserve"> </w:t>
      </w:r>
      <w:r>
        <w:rPr>
          <w:rStyle w:val="VerbatimChar"/>
        </w:rPr>
        <w:t xml:space="preserve">fillLength &lt;= 0</w:t>
      </w:r>
      <w:r>
        <w:t xml:space="preserve"> </w:t>
      </w:r>
      <w:r>
        <w:t xml:space="preserve">(true/false), onde</w:t>
      </w:r>
      <w:r>
        <w:t xml:space="preserve"> </w:t>
      </w:r>
      <w:r>
        <w:rPr>
          <w:rStyle w:val="VerbatimChar"/>
        </w:rPr>
        <w:t xml:space="preserve">fillLength = size - str.length()</w:t>
      </w:r>
    </w:p>
    <w:p>
      <w:pPr>
        <w:pStyle w:val="FirstParagraph"/>
      </w:pPr>
      <w:r>
        <w:t xml:space="preserve">Como temos 4 condições binárias, o total será 2⁴ = 16 linhas na tabela verdade completa.</w:t>
      </w:r>
    </w:p>
    <w:bookmarkEnd w:id="25"/>
    <w:bookmarkStart w:id="26" w:name="passo-2-tabela-verdade-completa"/>
    <w:p>
      <w:pPr>
        <w:pStyle w:val="Heading3"/>
      </w:pPr>
      <w:r>
        <w:t xml:space="preserve">Passo 2: Tabela verdade completa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586"/>
        <w:gridCol w:w="586"/>
        <w:gridCol w:w="586"/>
        <w:gridCol w:w="586"/>
        <w:gridCol w:w="2933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Caso</w:t>
            </w:r>
          </w:p>
        </w:tc>
        <w:tc>
          <w:tcPr/>
          <w:p>
            <w:pPr>
              <w:pStyle w:val="Compact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C3</w:t>
            </w:r>
          </w:p>
        </w:tc>
        <w:tc>
          <w:tcPr/>
          <w:p>
            <w:pPr>
              <w:pStyle w:val="Compact"/>
            </w:pPr>
            <w:r>
              <w:t xml:space="preserve">C4</w:t>
            </w:r>
          </w:p>
        </w:tc>
        <w:tc>
          <w:tcPr/>
          <w:p>
            <w:pPr>
              <w:pStyle w:val="Compact"/>
            </w:pPr>
            <w:r>
              <w:t xml:space="preserve">Resultado esperado</w:t>
            </w:r>
          </w:p>
        </w:tc>
        <w:tc>
          <w:tcPr/>
          <w:p>
            <w:pPr>
              <w:pStyle w:val="Compact"/>
            </w:pPr>
            <w:r>
              <w:t xml:space="preserve">Observação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T7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  <w:tc>
          <w:tcPr/>
          <w:p>
            <w:pPr>
              <w:pStyle w:val="Compact"/>
            </w:pPr>
            <w:r>
              <w:t xml:space="preserve">str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stringPreenche</w:t>
            </w:r>
          </w:p>
        </w:tc>
        <w:tc>
          <w:tcPr/>
          <w:p>
            <w:pPr>
              <w:pStyle w:val="Compact"/>
            </w:pPr>
            <w:r>
              <w:t xml:space="preserve">Caso normal preenche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  <w:tc>
          <w:tcPr/>
          <w:p>
            <w:pPr>
              <w:pStyle w:val="Compact"/>
            </w:pPr>
            <w:r>
              <w:t xml:space="preserve">fillLength &lt;=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espaço</w:t>
            </w:r>
          </w:p>
        </w:tc>
        <w:tc>
          <w:tcPr/>
          <w:p>
            <w:pPr>
              <w:pStyle w:val="Compact"/>
            </w:pPr>
            <w:r>
              <w:t xml:space="preserve">stringPreenche.isEmpty() = 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  <w:tc>
          <w:tcPr/>
          <w:p>
            <w:pPr>
              <w:pStyle w:val="Compact"/>
            </w:pPr>
            <w:r>
              <w:t xml:space="preserve">fillLength &lt;=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espaço</w:t>
            </w:r>
          </w:p>
        </w:tc>
        <w:tc>
          <w:tcPr/>
          <w:p>
            <w:pPr>
              <w:pStyle w:val="Compact"/>
            </w:pPr>
            <w:r>
              <w:t xml:space="preserve">stringPreenche ==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  <w:tc>
          <w:tcPr/>
          <w:p>
            <w:pPr>
              <w:pStyle w:val="Compact"/>
            </w:pPr>
            <w:r>
              <w:t xml:space="preserve">fillLength &lt;=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espaço</w:t>
            </w:r>
          </w:p>
        </w:tc>
        <w:tc>
          <w:tcPr/>
          <w:p>
            <w:pPr>
              <w:pStyle w:val="Compact"/>
            </w:pPr>
            <w:r>
              <w:t xml:space="preserve">stringPreenche == null e isEmpty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  <w:tc>
          <w:tcPr/>
          <w:p>
            <w:pPr>
              <w:pStyle w:val="Compact"/>
            </w:pPr>
            <w:r>
              <w:t xml:space="preserve">fillLength &lt;= 0</w:t>
            </w:r>
          </w:p>
        </w:tc>
      </w:tr>
    </w:tbl>
    <w:bookmarkEnd w:id="26"/>
    <w:bookmarkStart w:id="27" w:name="X99bb80a210024b835ea609eae37fa21c8c0ca0b"/>
    <w:p>
      <w:pPr>
        <w:pStyle w:val="Heading3"/>
      </w:pPr>
      <w:r>
        <w:t xml:space="preserve">Passo 3: Explicação dos pares de independência para MC/DC</w:t>
      </w:r>
    </w:p>
    <w:p>
      <w:pPr>
        <w:pStyle w:val="FirstParagraph"/>
      </w:pPr>
      <w:r>
        <w:t xml:space="preserve">O critério MC/DC exige que cada condição atômica:</w:t>
      </w:r>
    </w:p>
    <w:p>
      <w:pPr>
        <w:pStyle w:val="Compact"/>
        <w:numPr>
          <w:ilvl w:val="0"/>
          <w:numId w:val="1010"/>
        </w:numPr>
      </w:pPr>
      <w:r>
        <w:t xml:space="preserve">Afete a decisão final</w:t>
      </w:r>
    </w:p>
    <w:p>
      <w:pPr>
        <w:pStyle w:val="Compact"/>
        <w:numPr>
          <w:ilvl w:val="0"/>
          <w:numId w:val="1010"/>
        </w:numPr>
      </w:pPr>
      <w:r>
        <w:t xml:space="preserve">Seja demonstrada por pares de casos de teste onde apenas aquela condição muda e as outras permanecem iguais</w:t>
      </w:r>
    </w:p>
    <w:bookmarkEnd w:id="27"/>
    <w:bookmarkStart w:id="28" w:name="Xdf74eed79538326d7d56da738db99bd61522560"/>
    <w:p>
      <w:pPr>
        <w:pStyle w:val="Heading3"/>
      </w:pPr>
      <w:r>
        <w:t xml:space="preserve">Passo 4: Seleção de pares independentes para cada condição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C1:</w:t>
      </w:r>
      <w:r>
        <w:t xml:space="preserve"> </w:t>
      </w:r>
      <w:r>
        <w:t xml:space="preserve">Pares (T8, T16)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C2:</w:t>
      </w:r>
      <w:r>
        <w:t xml:space="preserve"> </w:t>
      </w:r>
      <w:r>
        <w:t xml:space="preserve">Pares (T9, T13)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C3:</w:t>
      </w:r>
      <w:r>
        <w:t xml:space="preserve"> </w:t>
      </w:r>
      <w:r>
        <w:t xml:space="preserve">Pares (T9, T11)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C4:</w:t>
      </w:r>
      <w:r>
        <w:t xml:space="preserve"> </w:t>
      </w:r>
      <w:r>
        <w:t xml:space="preserve">Pares (T9, T10)</w:t>
      </w:r>
    </w:p>
    <w:bookmarkEnd w:id="28"/>
    <w:bookmarkStart w:id="29" w:name="passo-5-tabela-final-reduzida-para-mcdc"/>
    <w:p>
      <w:pPr>
        <w:pStyle w:val="Heading3"/>
      </w:pPr>
      <w:r>
        <w:t xml:space="preserve">Passo 5: Tabela final reduzida para MC/DC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Caso</w:t>
            </w:r>
          </w:p>
        </w:tc>
        <w:tc>
          <w:tcPr/>
          <w:p>
            <w:pPr>
              <w:pStyle w:val="Compact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C3</w:t>
            </w:r>
          </w:p>
        </w:tc>
        <w:tc>
          <w:tcPr/>
          <w:p>
            <w:pPr>
              <w:pStyle w:val="Compact"/>
            </w:pPr>
            <w:r>
              <w:t xml:space="preserve">C4</w:t>
            </w:r>
          </w:p>
        </w:tc>
        <w:tc>
          <w:tcPr/>
          <w:p>
            <w:pPr>
              <w:pStyle w:val="Compact"/>
            </w:pPr>
            <w:r>
              <w:t xml:space="preserve">Resultado esperado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stringPreenche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preenche com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T10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retorna str</w:t>
            </w:r>
          </w:p>
        </w:tc>
      </w:tr>
    </w:tbl>
    <w:bookmarkEnd w:id="29"/>
    <w:bookmarkStart w:id="30" w:name="passo-6-testes-junit-para-esses-casos"/>
    <w:p>
      <w:pPr>
        <w:pStyle w:val="Heading3"/>
      </w:pPr>
      <w:r>
        <w:t xml:space="preserve">Passo 6: Testes JUnit para esses casos</w:t>
      </w:r>
    </w:p>
    <w:p>
      <w:pPr>
        <w:pStyle w:val="SourceCode"/>
      </w:pP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testStrNull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assertNull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preenche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testPreencheComStringPreenche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"***abc"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preenche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testPreencheComEspacoStringPreencheNull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preenche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testPreencheComEspacoStringPreencheEmpty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preenche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testRetornaStrFillLengthZero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preenche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</w:p>
    <w:bookmarkEnd w:id="30"/>
    <w:bookmarkEnd w:id="31"/>
    <w:bookmarkStart w:id="35" w:name="análise-de-cobertura-com-jacoco"/>
    <w:p>
      <w:pPr>
        <w:pStyle w:val="Heading2"/>
      </w:pPr>
      <w:r>
        <w:t xml:space="preserve">Análise de cobertura com Jacoco</w:t>
      </w:r>
    </w:p>
    <w:p>
      <w:pPr>
        <w:pStyle w:val="FirstParagraph"/>
      </w:pPr>
      <w:r>
        <w:t xml:space="preserve">A cobertura de código foi medida utilizando a ferramenta Jacoco em dois momentos:</w:t>
      </w:r>
    </w:p>
    <w:bookmarkStart w:id="32" w:name="sem-os-testes-mcdc"/>
    <w:p>
      <w:pPr>
        <w:pStyle w:val="Heading3"/>
      </w:pPr>
      <w:r>
        <w:t xml:space="preserve">Sem os testes MC/DC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Instruções cobertas:</w:t>
      </w:r>
      <w:r>
        <w:t xml:space="preserve"> </w:t>
      </w:r>
      <w:r>
        <w:t xml:space="preserve">93% (40 de 43 instruções)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Branches cobertos:</w:t>
      </w:r>
      <w:r>
        <w:t xml:space="preserve"> </w:t>
      </w:r>
      <w:r>
        <w:t xml:space="preserve">100% (10 de 10 branches)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Linhas cobertas:</w:t>
      </w:r>
      <w:r>
        <w:t xml:space="preserve"> </w:t>
      </w:r>
      <w:r>
        <w:t xml:space="preserve">12 de 13 linhas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Métodos cobertos:</w:t>
      </w:r>
      <w:r>
        <w:t xml:space="preserve"> </w:t>
      </w:r>
      <w:r>
        <w:t xml:space="preserve">2 de 2 métodos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Classes cobertas:</w:t>
      </w:r>
      <w:r>
        <w:t xml:space="preserve"> </w:t>
      </w:r>
      <w:r>
        <w:t xml:space="preserve">1 de 1 classe</w:t>
      </w:r>
    </w:p>
    <w:bookmarkEnd w:id="32"/>
    <w:bookmarkStart w:id="33" w:name="com-os-testes-mcdc"/>
    <w:p>
      <w:pPr>
        <w:pStyle w:val="Heading3"/>
      </w:pPr>
      <w:r>
        <w:t xml:space="preserve">Com os testes MC/DC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Instruções cobertas:</w:t>
      </w:r>
      <w:r>
        <w:t xml:space="preserve"> </w:t>
      </w:r>
      <w:r>
        <w:t xml:space="preserve">93% (40 de 43 instruções)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Branches cobertos:</w:t>
      </w:r>
      <w:r>
        <w:t xml:space="preserve"> </w:t>
      </w:r>
      <w:r>
        <w:t xml:space="preserve">100% (10 de 10 branches)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Linhas cobertas:</w:t>
      </w:r>
      <w:r>
        <w:t xml:space="preserve"> </w:t>
      </w:r>
      <w:r>
        <w:t xml:space="preserve">12 de 13 linhas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Métodos cobertos:</w:t>
      </w:r>
      <w:r>
        <w:t xml:space="preserve"> </w:t>
      </w:r>
      <w:r>
        <w:t xml:space="preserve">2 de 2 métodos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Classes cobertas:</w:t>
      </w:r>
      <w:r>
        <w:t xml:space="preserve"> </w:t>
      </w:r>
      <w:r>
        <w:t xml:space="preserve">1 de 1 classe</w:t>
      </w:r>
    </w:p>
    <w:bookmarkEnd w:id="33"/>
    <w:bookmarkStart w:id="34" w:name="conclusão"/>
    <w:p>
      <w:pPr>
        <w:pStyle w:val="Heading3"/>
      </w:pPr>
      <w:r>
        <w:t xml:space="preserve">Conclusão</w:t>
      </w:r>
    </w:p>
    <w:p>
      <w:pPr>
        <w:pStyle w:val="FirstParagraph"/>
      </w:pPr>
      <w:r>
        <w:t xml:space="preserve">O critério MC/DC foi aplicado com sucesso, identificando as condições atômicas relevantes e garantindo que cada uma seja testada de forma independente. Os casos selecionados cobrem todas as combinações necessárias para garantir o correto funcionamento da função</w:t>
      </w:r>
      <w:r>
        <w:t xml:space="preserve"> </w:t>
      </w:r>
      <w:r>
        <w:rPr>
          <w:rStyle w:val="VerbatimChar"/>
        </w:rPr>
        <w:t xml:space="preserve">preenche</w:t>
      </w:r>
      <w:r>
        <w:t xml:space="preserve">. A ferramenta</w:t>
      </w:r>
      <w:r>
        <w:t xml:space="preserve"> </w:t>
      </w:r>
      <w:r>
        <w:rPr>
          <w:b/>
          <w:bCs/>
        </w:rPr>
        <w:t xml:space="preserve">Jacoco</w:t>
      </w:r>
      <w:r>
        <w:t xml:space="preserve"> </w:t>
      </w:r>
      <w:r>
        <w:t xml:space="preserve">pode ser usada para validar a cobertura dos testes.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Trabalho Prático de Teste Baseado em Especificação</dc:title>
  <dc:creator>Breno Farias da Silva</dc:creator>
  <cp:keywords/>
  <dcterms:created xsi:type="dcterms:W3CDTF">2025-05-23T17:31:29Z</dcterms:created>
  <dcterms:modified xsi:type="dcterms:W3CDTF">2025-05-23T17:31:29Z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Validação do método preenche(String str, int size, String stringPreenche)</vt:lpwstr>
  </property>
  <property fmtid="{D5CDD505-2E9C-101B-9397-08002B2CF9AE}" pid="10" name="toc-title">
    <vt:lpwstr>Sumário</vt:lpwstr>
  </property>
</Properties>
</file>