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36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750" w:line="36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CENTRO UNIVERSITÁRIO MATER DEI - UNIMATER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CURSO DE TECNOLOGIA EM ANÁLISE E DESENVOLVIMENTO DE SISTEMAS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Brenon Moraes (RA: 12520191)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Otimização do Suporte Técnico Fiscal: Uma Proposta de Sistema para Tradução de Erros do SPED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Proposta de projeto apresentada ao Curso de Tecnologia em Análise e Desenvolvimento de Sistemas do Centro Universitário Mater Dei - UNIMATER, para elaboração do Trabalho de Conclusão de Curso.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Orientador: Prof. Fabiano Luiz Carniel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75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PATO BRANCO – PR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2026</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1 Tema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4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Automação de Suporte Técnico e Tradução de Erros para o Sistema Público de Escrituração Digital (SPED).</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2 Título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4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Otimização do Suporte Técnico Fiscal: Uma Proposta de Sistema para Tradução de Erros do SPED.</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3 Introdução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Público de Escrituração Digital (SPED) revolucionou a forma como as empresas brasileiras enviam suas informações fiscais e contábeis aos órgãos governamentais. No entanto, a complexidade das obrigações acessórias e a rigidez do Programa Validador e Assinador (PVA) frequentemente resultam em arquivos rejeitados por inconsistências cadastrais e erros de preenchimento.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cenário, os usuários finais dependem fortemente do suporte técnico das empresas desenvolvedoras de </w:t>
      </w:r>
      <w:r w:rsidDel="00000000" w:rsidR="00000000" w:rsidRPr="00000000">
        <w:rPr>
          <w:rFonts w:ascii="Arial" w:cs="Arial" w:eastAsia="Arial" w:hAnsi="Arial"/>
          <w:i w:val="1"/>
          <w:iCs w:val="1"/>
          <w:sz w:val="24"/>
          <w:szCs w:val="24"/>
          <w:rtl w:val="0"/>
        </w:rPr>
        <w:t xml:space="preserve">software</w:t>
      </w:r>
      <w:r w:rsidDel="00000000" w:rsidR="00000000" w:rsidRPr="00000000">
        <w:rPr>
          <w:rFonts w:ascii="Arial" w:cs="Arial" w:eastAsia="Arial" w:hAnsi="Arial"/>
          <w:sz w:val="24"/>
          <w:szCs w:val="24"/>
          <w:rtl w:val="0"/>
        </w:rPr>
        <w:t xml:space="preserve"> para compreender e corrigir tais erros, gerando sobrecarga nas equipes de atendimento e aumento no Tempo Médio de Atendimento (TMA).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4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Nesse contexto, este projeto visa explorar o distanciamento existente entre os desenvolvedores de Tecnologia da Informação (TI) e a linguagem técnica fiscal utilizada pelos usuários (contadores e analistas). Esta lacuna de comunicação e entendimento técnico impacta negativamente a agilidade na resolução de problemas, tornando necessária a criação de ferramentas que atuem como facilitadoras nesse processo.</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4 Justificativa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execução do suporte técnico em </w:t>
      </w:r>
      <w:r w:rsidDel="00000000" w:rsidR="00000000" w:rsidRPr="00000000">
        <w:rPr>
          <w:rFonts w:ascii="Arial" w:cs="Arial" w:eastAsia="Arial" w:hAnsi="Arial"/>
          <w:i w:val="1"/>
          <w:iCs w:val="1"/>
          <w:sz w:val="24"/>
          <w:szCs w:val="24"/>
          <w:rtl w:val="0"/>
        </w:rPr>
        <w:t xml:space="preserve">softwares</w:t>
      </w:r>
      <w:r w:rsidDel="00000000" w:rsidR="00000000" w:rsidRPr="00000000">
        <w:rPr>
          <w:rFonts w:ascii="Arial" w:cs="Arial" w:eastAsia="Arial" w:hAnsi="Arial"/>
          <w:sz w:val="24"/>
          <w:szCs w:val="24"/>
          <w:rtl w:val="0"/>
        </w:rPr>
        <w:t xml:space="preserve"> contábeis e fiscais demanda não apenas o conhecimento sistêmico, mas também uma forte base de legislação. Atualmente, quando o PVA aponta um erro, a mensagem retornada é demasiadamente técnica, dificultando a correção autônoma pelo usuário. O desenvolvimento desta ferramenta justifica-se pela necessidade de mitigar o retrabalho e otimizar o fluxo de atendimento.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4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tradução humanizada dos erros fiscais visa dar autonomia ao usuário final, permitindo que a equipe de suporte se dedique a chamados de maior complexidade. Ademais, busca-se garantir maior agilidade e compreensão na correção dos dados antes do reenvio governamental.</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5 Objetivos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concepção e implementação do sistema proposto, definem-se a seguir os objetivos gerais e específicos que guiarão o projeto.</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5.1 Objetivo Geral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Desenvolver uma ferramenta de tradução de erros voltada para o SPED, com o intuito de otimizar o suporte técnico e aumentar a autonomia do usuário final na correção de inconsistências apontadas pelo validador.</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5.2 Objetivos Específicos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360" w:lineRule="auto"/>
        <w:ind w:left="1133.8582677165355" w:hanging="360"/>
        <w:jc w:val="both"/>
      </w:pPr>
      <w:r w:rsidDel="00000000" w:rsidR="00000000" w:rsidRPr="00000000">
        <w:rPr>
          <w:rFonts w:ascii="Arial" w:cs="Arial" w:eastAsia="Arial" w:hAnsi="Arial"/>
          <w:sz w:val="24"/>
          <w:szCs w:val="24"/>
          <w:rtl w:val="0"/>
        </w:rPr>
        <w:t xml:space="preserve">Mapear os principais erros retornados pelo PVA da Receita Federal e criar uma base de conhecimento para o sistema.</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360" w:lineRule="auto"/>
        <w:ind w:left="1133.8582677165355" w:hanging="360"/>
        <w:jc w:val="both"/>
      </w:pPr>
      <w:r w:rsidDel="00000000" w:rsidR="00000000" w:rsidRPr="00000000">
        <w:rPr>
          <w:rFonts w:ascii="Arial" w:cs="Arial" w:eastAsia="Arial" w:hAnsi="Arial"/>
          <w:sz w:val="24"/>
          <w:szCs w:val="24"/>
          <w:rtl w:val="0"/>
        </w:rPr>
        <w:t xml:space="preserve">Programar o módulo de tradução em Java, convertendo os códigos de erro do PVA em orientações claras, práticas e de fácil entendimento (interface humanizada).</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360" w:lineRule="auto"/>
        <w:ind w:left="1133.8582677165355" w:hanging="360"/>
        <w:jc w:val="both"/>
      </w:pPr>
      <w:r w:rsidDel="00000000" w:rsidR="00000000" w:rsidRPr="00000000">
        <w:rPr>
          <w:rFonts w:ascii="Arial" w:cs="Arial" w:eastAsia="Arial" w:hAnsi="Arial"/>
          <w:sz w:val="24"/>
          <w:szCs w:val="24"/>
          <w:rtl w:val="0"/>
        </w:rPr>
        <w:t xml:space="preserve">Testar a ferramenta com cenários reais de erros do SPED, mensurando o tempo gasto para a identificação e correção das falhas.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480" w:line="36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6 Metodologia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pesquisa será de natureza aplicada, buscando resolver problemas práticos e específicos do dia a dia do suporte técnico. Em relação aos objetivos, a pesquisa classifica-se como exploratória e descritiva. O desenvolvimento do </w:t>
      </w:r>
      <w:r w:rsidDel="00000000" w:rsidR="00000000" w:rsidRPr="00000000">
        <w:rPr>
          <w:rFonts w:ascii="Arial" w:cs="Arial" w:eastAsia="Arial" w:hAnsi="Arial"/>
          <w:i w:val="1"/>
          <w:iCs w:val="1"/>
          <w:sz w:val="24"/>
          <w:szCs w:val="24"/>
          <w:rtl w:val="0"/>
        </w:rPr>
        <w:t xml:space="preserve">software</w:t>
      </w:r>
      <w:r w:rsidDel="00000000" w:rsidR="00000000" w:rsidRPr="00000000">
        <w:rPr>
          <w:rFonts w:ascii="Arial" w:cs="Arial" w:eastAsia="Arial" w:hAnsi="Arial"/>
          <w:sz w:val="24"/>
          <w:szCs w:val="24"/>
          <w:rtl w:val="0"/>
        </w:rPr>
        <w:t xml:space="preserve"> adotará a metodologia ágil, permitindo entregas iterativas e adaptações rápidas aos requisitos do SPED.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4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fluxo contemplará a fase de levantamento dos erros mais recorrentes nos chamados de suporte, seguida do desenvolvimento da lógica e das regras de negócio em Java para leitura e interpretação dos arquivos de erro e, por fim, os testes de validação em ambiente simulado.</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7 Coleta de Dados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dados serão coletados por meio do levantamento do histórico de chamados do suporte técnico da empresa em que o autor atua profissionalmente, isolando as ocorrências mais frequentes relacionadas à rejeição de arquivos do SPED pelo PVA.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4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a coleta será enriquecida pela aplicação empírica do conhecimento prévio e vivência prática do acadêmico na área de suporte fiscal. Também serão utilizadas as documentações oficiais da Receita Federal (Manuais de Orientação do SPED) para embasar as regras de validação que serão convertidas em código.</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8 Descrição do Projeto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ferramenta consistirá em um módulo de tradução que entrará em ação caso o arquivo gerado pelo sistema emissor seja rejeitado no PVA. A aplicação lerá o arquivo de retorno de erros da Receita Federal, capturará o código da falha e exibirá na tela do sistema a tradução prática do problema (por exemplo, indicando que uma nota específica está sem a alíquota de ICMS preenchida).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4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Desta forma, o sistema guiará o usuário de forma intuitiva sobre como realizar o acerto no sistema emissor original antes de gerar um novo arquivo.</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9 Viabilidade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projeto é plenamente viável dentro do cronograma proposto. O autor possui conhecimento e experiência na área de suporte técnico fiscal, compreendendo intimamente a regra de negócio exigida pelo SPED.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4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a linguagem e tecnologia proposta (Java) já é de domínio do acadêmico, não havendo necessidade de dispêndio financeiro para a aquisição de licenças, visto que o desenvolvimento será feito com ferramentas de código aberto (</w:t>
      </w:r>
      <w:r w:rsidDel="00000000" w:rsidR="00000000" w:rsidRPr="00000000">
        <w:rPr>
          <w:rFonts w:ascii="Arial" w:cs="Arial" w:eastAsia="Arial" w:hAnsi="Arial"/>
          <w:i w:val="1"/>
          <w:iCs w:val="1"/>
          <w:sz w:val="24"/>
          <w:szCs w:val="24"/>
          <w:rtl w:val="0"/>
        </w:rPr>
        <w:t xml:space="preserve">Open Source</w:t>
      </w:r>
      <w:r w:rsidDel="00000000" w:rsidR="00000000" w:rsidRPr="00000000">
        <w:rPr>
          <w:rFonts w:ascii="Arial" w:cs="Arial" w:eastAsia="Arial" w:hAnsi="Arial"/>
          <w:sz w:val="24"/>
          <w:szCs w:val="24"/>
          <w:rtl w:val="0"/>
        </w:rPr>
        <w:t xml:space="preserve">) ou licenças acadêmicas gratuitas.</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10 Recursos Tecnológicos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4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ambiente de desenvolvimento utilizará a linguagem de programação Java, ideal pela sua robustez em regras de negócios complexas e manipulação de arquivos de texto. Serão empregados ambientes de desenvolvimento integrado (IDEs) específicos para Java, ferramentas para a construção da interface de usuário e sistemas de controle de versionamento de código (como o </w:t>
      </w:r>
      <w:r w:rsidDel="00000000" w:rsidR="00000000" w:rsidRPr="00000000">
        <w:rPr>
          <w:rFonts w:ascii="Arial" w:cs="Arial" w:eastAsia="Arial" w:hAnsi="Arial"/>
          <w:i w:val="1"/>
          <w:iCs w:val="1"/>
          <w:sz w:val="24"/>
          <w:szCs w:val="24"/>
          <w:rtl w:val="0"/>
        </w:rPr>
        <w:t xml:space="preserve">Git</w:t>
      </w:r>
      <w:r w:rsidDel="00000000" w:rsidR="00000000" w:rsidRPr="00000000">
        <w:rPr>
          <w:rFonts w:ascii="Arial" w:cs="Arial" w:eastAsia="Arial" w:hAnsi="Arial"/>
          <w:sz w:val="24"/>
          <w:szCs w:val="24"/>
          <w:rtl w:val="0"/>
        </w:rPr>
        <w:t xml:space="preserve">) para garantir a integridade do progresso.</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11 Resultados Esperados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Espera-se que, com a aplicação prática do sistema, ocorra uma significativa redução no Tempo Médio de Atendimento (TMA) dos chamados relativos ao SPED no suporte técnico. Ao traduzir as falhas do PVA para uma linguagem acessível, o projeto tem como alvo aumentar a autonomia do usuário (contador ou analista).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4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Espera-se validar o resultado comparando o tempo de resolução de um erro fiscal padrão feito via suporte tradicional contra o tempo de resolução pelo próprio usuário utilizando as orientações geradas pela nova ferramenta.</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12 Cronograma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Tabela 1 - Cronograma de Atividades</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Change w:id="0">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
        </w:tblGridChange>
      </w:tblGrid>
      <w:tr>
        <w:trPr>
          <w:cantSplit w:val="0"/>
          <w:tblHeader w:val="1"/>
        </w:trPr>
        <w:tc>
          <w:tcPr>
            <w:vMerge w:val="restart"/>
            <w:shd w:fill="auto" w:val="clear"/>
            <w:tcMar>
              <w:top w:w="75.0" w:type="dxa"/>
              <w:left w:w="75.0" w:type="dxa"/>
              <w:bottom w:w="75.0" w:type="dxa"/>
              <w:right w:w="7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Atividade</w:t>
            </w:r>
          </w:p>
        </w:tc>
        <w:tc>
          <w:tcPr>
            <w:gridSpan w:val="10"/>
            <w:shd w:fill="auto" w:val="clear"/>
            <w:tcMar>
              <w:top w:w="75.0" w:type="dxa"/>
              <w:left w:w="75.0" w:type="dxa"/>
              <w:bottom w:w="75.0" w:type="dxa"/>
              <w:right w:w="7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2026 / 2027</w:t>
            </w:r>
          </w:p>
        </w:tc>
      </w:tr>
      <w:tr>
        <w:trPr>
          <w:cantSplit w:val="0"/>
          <w:tblHeader w:val="1"/>
        </w:trPr>
        <w:tc>
          <w:tcPr>
            <w:vMerge w:val="continue"/>
            <w:shd w:fill="auto" w:val="clear"/>
            <w:tcMar>
              <w:top w:w="75.0" w:type="dxa"/>
              <w:left w:w="75.0" w:type="dxa"/>
              <w:bottom w:w="75.0" w:type="dxa"/>
              <w:right w:w="7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Atividade</w:t>
            </w:r>
          </w:p>
        </w:tc>
        <w:tc>
          <w:tcPr>
            <w:shd w:fill="auto" w:val="clear"/>
            <w:tcMar>
              <w:top w:w="75.0" w:type="dxa"/>
              <w:left w:w="75.0" w:type="dxa"/>
              <w:bottom w:w="75.0" w:type="dxa"/>
              <w:right w:w="7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Ago</w:t>
            </w:r>
          </w:p>
        </w:tc>
        <w:tc>
          <w:tcPr>
            <w:shd w:fill="auto" w:val="clear"/>
            <w:tcMar>
              <w:top w:w="75.0" w:type="dxa"/>
              <w:left w:w="75.0" w:type="dxa"/>
              <w:bottom w:w="75.0" w:type="dxa"/>
              <w:right w:w="75.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Set</w:t>
            </w:r>
          </w:p>
        </w:tc>
        <w:tc>
          <w:tcPr>
            <w:shd w:fill="auto" w:val="clear"/>
            <w:tcMar>
              <w:top w:w="75.0" w:type="dxa"/>
              <w:left w:w="75.0" w:type="dxa"/>
              <w:bottom w:w="75.0" w:type="dxa"/>
              <w:right w:w="7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Out</w:t>
            </w:r>
          </w:p>
        </w:tc>
        <w:tc>
          <w:tcPr>
            <w:shd w:fill="auto" w:val="clear"/>
            <w:tcMar>
              <w:top w:w="75.0" w:type="dxa"/>
              <w:left w:w="75.0" w:type="dxa"/>
              <w:bottom w:w="75.0" w:type="dxa"/>
              <w:right w:w="7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Nov</w:t>
            </w:r>
          </w:p>
        </w:tc>
        <w:tc>
          <w:tcPr>
            <w:shd w:fill="auto" w:val="clear"/>
            <w:tcMar>
              <w:top w:w="75.0" w:type="dxa"/>
              <w:left w:w="75.0" w:type="dxa"/>
              <w:bottom w:w="75.0" w:type="dxa"/>
              <w:right w:w="7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Dez</w:t>
            </w:r>
          </w:p>
        </w:tc>
        <w:tc>
          <w:tcPr>
            <w:shd w:fill="auto" w:val="clear"/>
            <w:tcMar>
              <w:top w:w="75.0" w:type="dxa"/>
              <w:left w:w="75.0" w:type="dxa"/>
              <w:bottom w:w="75.0" w:type="dxa"/>
              <w:right w:w="7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Jan</w:t>
            </w:r>
          </w:p>
        </w:tc>
        <w:tc>
          <w:tcPr>
            <w:shd w:fill="auto" w:val="clear"/>
            <w:tcMar>
              <w:top w:w="75.0" w:type="dxa"/>
              <w:left w:w="75.0" w:type="dxa"/>
              <w:bottom w:w="75.0" w:type="dxa"/>
              <w:right w:w="7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Fev</w:t>
            </w:r>
          </w:p>
        </w:tc>
        <w:tc>
          <w:tcPr>
            <w:shd w:fill="auto" w:val="clear"/>
            <w:tcMar>
              <w:top w:w="75.0" w:type="dxa"/>
              <w:left w:w="75.0" w:type="dxa"/>
              <w:bottom w:w="75.0" w:type="dxa"/>
              <w:right w:w="7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Mar</w:t>
            </w:r>
          </w:p>
        </w:tc>
        <w:tc>
          <w:tcPr>
            <w:shd w:fill="auto" w:val="clear"/>
            <w:tcMar>
              <w:top w:w="75.0" w:type="dxa"/>
              <w:left w:w="75.0" w:type="dxa"/>
              <w:bottom w:w="75.0" w:type="dxa"/>
              <w:right w:w="7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Abr</w:t>
            </w:r>
          </w:p>
        </w:tc>
        <w:tc>
          <w:tcPr>
            <w:shd w:fill="auto" w:val="clear"/>
            <w:tcMar>
              <w:top w:w="75.0" w:type="dxa"/>
              <w:left w:w="75.0" w:type="dxa"/>
              <w:bottom w:w="75.0" w:type="dxa"/>
              <w:right w:w="7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Mai</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Defesa da Proposta na Banca</w:t>
            </w:r>
          </w:p>
        </w:tc>
        <w:tc>
          <w:tcPr>
            <w:shd w:fill="auto" w:val="clear"/>
            <w:tcMar>
              <w:top w:w="75.0" w:type="dxa"/>
              <w:left w:w="75.0" w:type="dxa"/>
              <w:bottom w:w="75.0" w:type="dxa"/>
              <w:right w:w="7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Pesquisa de campo / coleta de dados</w:t>
            </w:r>
          </w:p>
        </w:tc>
        <w:tc>
          <w:tcPr>
            <w:shd w:fill="auto" w:val="clear"/>
            <w:tcMar>
              <w:top w:w="75.0" w:type="dxa"/>
              <w:left w:w="75.0" w:type="dxa"/>
              <w:bottom w:w="75.0" w:type="dxa"/>
              <w:right w:w="7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Apresentação do Andamento do Projeto</w:t>
            </w:r>
          </w:p>
        </w:tc>
        <w:tc>
          <w:tcPr>
            <w:shd w:fill="auto" w:val="clear"/>
            <w:tcMar>
              <w:top w:w="75.0" w:type="dxa"/>
              <w:left w:w="75.0" w:type="dxa"/>
              <w:bottom w:w="75.0" w:type="dxa"/>
              <w:right w:w="75.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Fundamentação teórica</w:t>
            </w:r>
          </w:p>
        </w:tc>
        <w:tc>
          <w:tcPr>
            <w:shd w:fill="auto" w:val="clear"/>
            <w:tcMar>
              <w:top w:w="75.0" w:type="dxa"/>
              <w:left w:w="75.0" w:type="dxa"/>
              <w:bottom w:w="75.0" w:type="dxa"/>
              <w:right w:w="75.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Implementação do sistema</w:t>
            </w:r>
          </w:p>
        </w:tc>
        <w:tc>
          <w:tcPr>
            <w:shd w:fill="auto" w:val="clear"/>
            <w:tcMar>
              <w:top w:w="75.0" w:type="dxa"/>
              <w:left w:w="75.0" w:type="dxa"/>
              <w:bottom w:w="75.0" w:type="dxa"/>
              <w:right w:w="75.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Desenvolvimento</w:t>
            </w:r>
          </w:p>
        </w:tc>
        <w:tc>
          <w:tcPr>
            <w:shd w:fill="auto" w:val="clear"/>
            <w:tcMar>
              <w:top w:w="75.0" w:type="dxa"/>
              <w:left w:w="75.0" w:type="dxa"/>
              <w:bottom w:w="75.0" w:type="dxa"/>
              <w:right w:w="75.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Elaboração da monografia</w:t>
            </w:r>
          </w:p>
        </w:tc>
        <w:tc>
          <w:tcPr>
            <w:shd w:fill="auto" w:val="clear"/>
            <w:tcMar>
              <w:top w:w="75.0" w:type="dxa"/>
              <w:left w:w="75.0" w:type="dxa"/>
              <w:bottom w:w="75.0" w:type="dxa"/>
              <w:right w:w="75.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c>
          <w:tcPr>
            <w:shd w:fill="auto" w:val="clear"/>
            <w:tcMar>
              <w:top w:w="75.0" w:type="dxa"/>
              <w:left w:w="75.0" w:type="dxa"/>
              <w:bottom w:w="75.0" w:type="dxa"/>
              <w:right w:w="75.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Defesa do TCC</w:t>
            </w:r>
          </w:p>
        </w:tc>
        <w:tc>
          <w:tcPr>
            <w:shd w:fill="auto" w:val="clear"/>
            <w:tcMar>
              <w:top w:w="75.0" w:type="dxa"/>
              <w:left w:w="75.0" w:type="dxa"/>
              <w:bottom w:w="75.0" w:type="dxa"/>
              <w:right w:w="75.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75.0" w:type="dxa"/>
              <w:left w:w="75.0" w:type="dxa"/>
              <w:bottom w:w="75.0" w:type="dxa"/>
              <w:right w:w="75.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w:t>
            </w:r>
          </w:p>
        </w:tc>
      </w:tr>
    </w:tbl>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480" w:before="100"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O autor (2026).</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Referências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BRASIL. Receita Federal. Manuais de Orientação do Sistema Público de Escrituração Digital (SPED). Disponível em: portal Sped. Acesso em: 24 ago. 2026.</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48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KEHL, Stephanie Maria. Dificuldades dos profissionais que trabalham com TI perante os conhecimentos contábeis exigidos na operacionalização dos sistemas de contabilidade. 2015. 63 f. Trabalho de Conclusão de Curso (Bacharelado em Ciências Contábeis) - Universidade Tecnológica Federal do Paraná, Pato Branco, 2015.</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Apêndice A - Título do Apêndice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(Inserir aqui os artefatos gerados pelo autor, como diagramas de classe, formulários ou telas do sistema, conforme a necessidade do projeto).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33.858267716535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