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2F6F5E"/>
          <w:spacing w:val="24"/>
          <w:sz w:val="20"/>
          <w:szCs w:val="20"/>
        </w:rPr>
        <w:t xml:space="preserve">PAINEL DE PESSOAS</w:t>
      </w:r>
    </w:p>
    <w:p>
      <w:pPr>
        <w:spacing w:after="100"/>
      </w:pPr>
      <w:r>
        <w:rPr>
          <w:rFonts w:ascii="Calibri" w:cs="Calibri" w:eastAsia="Calibri" w:hAnsi="Calibri"/>
          <w:b/>
          <w:bCs/>
          <w:color w:val="16213B"/>
          <w:sz w:val="38"/>
          <w:szCs w:val="38"/>
        </w:rPr>
        <w:t xml:space="preserve">Análise de Impacto à Proteção de Dados</w:t>
      </w:r>
    </w:p>
    <w:p>
      <w:pPr>
        <w:spacing w:after="500"/>
      </w:pPr>
      <w:r>
        <w:rPr>
          <w:rFonts w:ascii="Calibri" w:cs="Calibri" w:eastAsia="Calibri" w:hAnsi="Calibri"/>
          <w:i/>
          <w:iCs/>
          <w:color w:val="5A6472"/>
          <w:sz w:val="22"/>
          <w:szCs w:val="22"/>
        </w:rPr>
        <w:t xml:space="preserve">Relatório de Impacto à Proteção de Dados Pessoais (RIPD), alinhado aos princípios da LGPD (Lei 13.709/2018)</w:t>
      </w:r>
    </w:p>
    <w:p>
      <w:pPr>
        <w:pBdr>
          <w:bottom w:val="single" w:color="2F6F5E" w:sz="10" w:space="1"/>
        </w:pBdr>
        <w:spacing w:after="500"/>
      </w:pPr>
    </w:p>
    <w:p>
      <w:pPr>
        <w:spacing w:after="130" w:line="290"/>
        <w:jc w:val="both"/>
      </w:pPr>
      <w:r>
        <w:rPr>
          <w:rFonts w:ascii="Calibri" w:cs="Calibri" w:eastAsia="Calibri" w:hAnsi="Calibri"/>
          <w:b w:val="false"/>
          <w:bCs w:val="false"/>
          <w:i w:val="false"/>
          <w:iCs w:val="false"/>
          <w:color w:val="16213B"/>
          <w:sz w:val="21"/>
          <w:szCs w:val="21"/>
        </w:rPr>
        <w:t xml:space="preserve">Este documento organiza, de forma estruturada, os fluxos de dados pessoais tratados pela plataforma, a base legal aplicável, os riscos identificados e as medidas de mitigação já implementadas, seguindo a lógica de um Relatório de Impacto à Proteção de Dados Pessoais (RIPD), instrumento previsto na Lei Geral de Proteção de Dados (LGPD, Lei nº 13.709/2018).</w:t>
      </w:r>
    </w:p>
    <w:p>
      <w:pPr>
        <w:spacing w:after="140"/>
      </w:pPr>
    </w:p>
    <w:p>
      <w:pPr>
        <w:pStyle w:val="Heading1"/>
        <w:pBdr>
          <w:bottom w:val="single" w:color="2F6F5E" w:sz="6" w:space="4"/>
        </w:pBdr>
        <w:spacing w:after="160" w:before="380"/>
      </w:pPr>
      <w:r>
        <w:rPr>
          <w:rFonts w:ascii="Calibri" w:cs="Calibri" w:eastAsia="Calibri" w:hAnsi="Calibri"/>
          <w:b/>
          <w:bCs/>
          <w:color w:val="1F4B3F"/>
          <w:sz w:val="28"/>
          <w:szCs w:val="28"/>
        </w:rPr>
        <w:t xml:space="preserve">1. Dados pessoais tratados</w:t>
      </w:r>
    </w:p>
    <w:p>
      <w:pPr>
        <w:spacing w:after="130" w:line="290"/>
        <w:jc w:val="both"/>
      </w:pPr>
      <w:r>
        <w:rPr>
          <w:rFonts w:ascii="Calibri" w:cs="Calibri" w:eastAsia="Calibri" w:hAnsi="Calibri"/>
          <w:b w:val="false"/>
          <w:bCs w:val="false"/>
          <w:i w:val="false"/>
          <w:iCs w:val="false"/>
          <w:color w:val="16213B"/>
          <w:sz w:val="21"/>
          <w:szCs w:val="21"/>
        </w:rPr>
        <w:t xml:space="preserve">A plataforma processa dados de colaboradores de uma organização, típicos de sistemas de Recursos Humanos, o que os classifica como dados pessoais sob a LGPD, e em alguns casos dados pessoais sensíveis.</w:t>
      </w:r>
    </w:p>
    <w:p>
      <w:pPr>
        <w:spacing w:after="80"/>
      </w:pPr>
    </w:p>
    <w:tbl>
      <w:tblPr>
        <w:tblW w:type="pct" w:w="100%"/>
        <w:tblBorders>
          <w:top w:val="single" w:color="D8D3C4" w:sz="4"/>
          <w:left w:val="single" w:color="D8D3C4" w:sz="4"/>
          <w:bottom w:val="single" w:color="D8D3C4" w:sz="4"/>
          <w:right w:val="single" w:color="D8D3C4" w:sz="4"/>
          <w:insideH w:val="single" w:color="D8D3C4" w:sz="4"/>
          <w:insideV w:val="single" w:color="D8D3C4" w:sz="4"/>
        </w:tblBorders>
      </w:tblPr>
      <w:tblGrid>
        <w:gridCol w:w="4650"/>
        <w:gridCol w:w="4650"/>
      </w:tblGrid>
      <w:tr>
        <w:tc>
          <w:tcPr>
            <w:tcW w:type="dxa" w:w="4650"/>
            <w:shd w:fill="2F6F5E" w:val="clear"/>
            <w:tcMar>
              <w:top w:type="dxa" w:w="90"/>
              <w:left w:type="dxa" w:w="130"/>
              <w:bottom w:type="dxa" w:w="90"/>
              <w:right w:type="dxa" w:w="130"/>
            </w:tcMar>
          </w:tcPr>
          <w:p>
            <w:r>
              <w:rPr>
                <w:rFonts w:ascii="Calibri" w:cs="Calibri" w:eastAsia="Calibri" w:hAnsi="Calibri"/>
                <w:b/>
                <w:bCs/>
                <w:color w:val="FFFFFF"/>
                <w:sz w:val="19"/>
                <w:szCs w:val="19"/>
              </w:rPr>
              <w:t xml:space="preserve">Categoria</w:t>
            </w:r>
          </w:p>
        </w:tc>
        <w:tc>
          <w:tcPr>
            <w:tcW w:type="dxa" w:w="4650"/>
            <w:shd w:fill="2F6F5E" w:val="clear"/>
            <w:tcMar>
              <w:top w:type="dxa" w:w="90"/>
              <w:left w:type="dxa" w:w="130"/>
              <w:bottom w:type="dxa" w:w="90"/>
              <w:right w:type="dxa" w:w="130"/>
            </w:tcMar>
          </w:tcPr>
          <w:p>
            <w:r>
              <w:rPr>
                <w:rFonts w:ascii="Calibri" w:cs="Calibri" w:eastAsia="Calibri" w:hAnsi="Calibri"/>
                <w:b/>
                <w:bCs/>
                <w:color w:val="FFFFFF"/>
                <w:sz w:val="19"/>
                <w:szCs w:val="19"/>
              </w:rPr>
              <w:t xml:space="preserve">Campos</w:t>
            </w:r>
          </w:p>
        </w:tc>
      </w:tr>
      <w:tr>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Identificação</w:t>
            </w:r>
          </w:p>
        </w:tc>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Nome, matrícula, CPF</w:t>
            </w:r>
          </w:p>
        </w:tc>
      </w:tr>
      <w:tr>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Dados demográficos</w:t>
            </w:r>
          </w:p>
        </w:tc>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Data de nascimento, idade, gênero, raça/etnia</w:t>
            </w:r>
          </w:p>
        </w:tc>
      </w:tr>
      <w:tr>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Dados de saúde/condição</w:t>
            </w:r>
          </w:p>
        </w:tc>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Indicador de pessoa com deficiência (PCD), classificado como dado sensível pela LGPD</w:t>
            </w:r>
          </w:p>
        </w:tc>
      </w:tr>
      <w:tr>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Dados financeiros</w:t>
            </w:r>
          </w:p>
        </w:tc>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Salário inicial, salário atual, componentes de folha de pagamento</w:t>
            </w:r>
          </w:p>
        </w:tc>
      </w:tr>
      <w:tr>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Dados profissionais</w:t>
            </w:r>
          </w:p>
        </w:tc>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Cargo, senioridade, área, filial, tipo de contrato, histórico de carreira</w:t>
            </w:r>
          </w:p>
        </w:tc>
      </w:tr>
      <w:tr>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Dados de desempenho/saída</w:t>
            </w:r>
          </w:p>
        </w:tc>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Motivo e tipo de desligamento, respostas de entrevista, nota de eNPS</w:t>
            </w:r>
          </w:p>
        </w:tc>
      </w:tr>
    </w:tbl>
    <w:p>
      <w:pPr>
        <w:spacing w:after="160"/>
      </w:pPr>
    </w:p>
    <w:p>
      <w:pPr>
        <w:pStyle w:val="Heading1"/>
        <w:pBdr>
          <w:bottom w:val="single" w:color="2F6F5E" w:sz="6" w:space="4"/>
        </w:pBdr>
        <w:spacing w:after="160" w:before="380"/>
      </w:pPr>
      <w:r>
        <w:rPr>
          <w:rFonts w:ascii="Calibri" w:cs="Calibri" w:eastAsia="Calibri" w:hAnsi="Calibri"/>
          <w:b/>
          <w:bCs/>
          <w:color w:val="1F4B3F"/>
          <w:sz w:val="28"/>
          <w:szCs w:val="28"/>
        </w:rPr>
        <w:t xml:space="preserve">2. Base legal e finalidade</w:t>
      </w:r>
    </w:p>
    <w:p>
      <w:pPr>
        <w:spacing w:after="130" w:line="290"/>
        <w:jc w:val="both"/>
      </w:pPr>
      <w:r>
        <w:rPr>
          <w:rFonts w:ascii="Calibri" w:cs="Calibri" w:eastAsia="Calibri" w:hAnsi="Calibri"/>
          <w:b w:val="false"/>
          <w:bCs w:val="false"/>
          <w:i w:val="false"/>
          <w:iCs w:val="false"/>
          <w:color w:val="16213B"/>
          <w:sz w:val="21"/>
          <w:szCs w:val="21"/>
        </w:rPr>
        <w:t xml:space="preserve">A plataforma, por si só, não define a base legal do tratamento de dados de RH; essa é uma decisão da organização que a utiliza. No entanto, o uso típico esperado (geração de indicadores de gestão de pessoas para a própria organização empregadora) se enquadra tipicamente nas hipóteses de execução de contrato de trabalho e de legítimo interesse do controlador (art. 7º, incisos V e IX, da LGPD), sem prejuízo de avaliação jurídica específica por parte de cada organização usuária.</w:t>
      </w:r>
    </w:p>
    <w:p>
      <w:pPr>
        <w:spacing w:after="130" w:line="290"/>
        <w:jc w:val="both"/>
      </w:pPr>
      <w:r>
        <w:rPr>
          <w:rFonts w:ascii="Calibri" w:cs="Calibri" w:eastAsia="Calibri" w:hAnsi="Calibri"/>
          <w:b w:val="false"/>
          <w:bCs w:val="false"/>
          <w:i w:val="false"/>
          <w:iCs w:val="false"/>
          <w:color w:val="16213B"/>
          <w:sz w:val="21"/>
          <w:szCs w:val="21"/>
        </w:rPr>
        <w:t xml:space="preserve">Recomenda-se que a organização que utilizar a plataforma trate esse ponto formalmente em seu próprio inventário de dados e relatório de impacto interno, já que a plataforma atua como ferramenta de processamento, não como controladora dos dados.</w:t>
      </w:r>
    </w:p>
    <w:p>
      <w:pPr>
        <w:pStyle w:val="Heading1"/>
        <w:pBdr>
          <w:bottom w:val="single" w:color="2F6F5E" w:sz="6" w:space="4"/>
        </w:pBdr>
        <w:spacing w:after="160" w:before="380"/>
      </w:pPr>
      <w:r>
        <w:rPr>
          <w:rFonts w:ascii="Calibri" w:cs="Calibri" w:eastAsia="Calibri" w:hAnsi="Calibri"/>
          <w:b/>
          <w:bCs/>
          <w:color w:val="1F4B3F"/>
          <w:sz w:val="28"/>
          <w:szCs w:val="28"/>
        </w:rPr>
        <w:t xml:space="preserve">3. Mapeamento de fluxos de dados</w:t>
      </w:r>
    </w:p>
    <w:p>
      <w:pPr>
        <w:pStyle w:val="Heading2"/>
        <w:spacing w:after="100" w:before="240"/>
      </w:pPr>
      <w:r>
        <w:rPr>
          <w:rFonts w:ascii="Calibri" w:cs="Calibri" w:eastAsia="Calibri" w:hAnsi="Calibri"/>
          <w:b/>
          <w:bCs/>
          <w:color w:val="16213B"/>
          <w:sz w:val="23"/>
          <w:szCs w:val="23"/>
        </w:rPr>
        <w:t xml:space="preserve">3.1 Fluxos que permanecem no navegador (não trafegam pela rede)</w:t>
      </w: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2F0E8" w:val="clear"/>
            <w:tcMar>
              <w:top w:type="dxa" w:w="140"/>
              <w:left w:type="dxa" w:w="220"/>
              <w:bottom w:type="dxa" w:w="160"/>
              <w:right w:type="dxa" w:w="220"/>
            </w:tcMar>
          </w:tcPr>
          <w:p>
            <w:pPr>
              <w:pStyle w:val="ListParagraph"/>
              <w:numPr>
                <w:ilvl w:val="0"/>
                <w:numId w:val="2"/>
              </w:numPr>
              <w:spacing w:after="60" w:line="260"/>
            </w:pPr>
            <w:r>
              <w:rPr>
                <w:rFonts w:ascii="Calibri" w:cs="Calibri" w:eastAsia="Calibri" w:hAnsi="Calibri"/>
                <w:color w:val="16213B"/>
                <w:sz w:val="20"/>
                <w:szCs w:val="20"/>
              </w:rPr>
              <w:t xml:space="preserve">Leitura do arquivo original enviado pelo usuário.</w:t>
            </w:r>
          </w:p>
          <w:p>
            <w:pPr>
              <w:pStyle w:val="ListParagraph"/>
              <w:numPr>
                <w:ilvl w:val="0"/>
                <w:numId w:val="2"/>
              </w:numPr>
              <w:spacing w:after="60" w:line="260"/>
            </w:pPr>
            <w:r>
              <w:rPr>
                <w:rFonts w:ascii="Calibri" w:cs="Calibri" w:eastAsia="Calibri" w:hAnsi="Calibri"/>
                <w:color w:val="16213B"/>
                <w:sz w:val="20"/>
                <w:szCs w:val="20"/>
              </w:rPr>
              <w:t xml:space="preserve">Limpeza e normalização de todos os dados.</w:t>
            </w:r>
          </w:p>
          <w:p>
            <w:pPr>
              <w:pStyle w:val="ListParagraph"/>
              <w:numPr>
                <w:ilvl w:val="0"/>
                <w:numId w:val="2"/>
              </w:numPr>
              <w:spacing w:after="60" w:line="260"/>
            </w:pPr>
            <w:r>
              <w:rPr>
                <w:rFonts w:ascii="Calibri" w:cs="Calibri" w:eastAsia="Calibri" w:hAnsi="Calibri"/>
                <w:color w:val="16213B"/>
                <w:sz w:val="20"/>
                <w:szCs w:val="20"/>
              </w:rPr>
              <w:t xml:space="preserve">Cálculo de todos os KPIs, gráficos e agregações exibidos no dashboard.</w:t>
            </w:r>
          </w:p>
          <w:p>
            <w:pPr>
              <w:pStyle w:val="ListParagraph"/>
              <w:numPr>
                <w:ilvl w:val="0"/>
                <w:numId w:val="2"/>
              </w:numPr>
              <w:spacing w:after="60" w:line="260"/>
            </w:pPr>
            <w:r>
              <w:rPr>
                <w:rFonts w:ascii="Calibri" w:cs="Calibri" w:eastAsia="Calibri" w:hAnsi="Calibri"/>
                <w:color w:val="16213B"/>
                <w:sz w:val="20"/>
                <w:szCs w:val="20"/>
              </w:rPr>
              <w:t xml:space="preserve">Aplicação de filtros e segmentações.</w:t>
            </w:r>
          </w:p>
          <w:p>
            <w:pPr>
              <w:pStyle w:val="ListParagraph"/>
              <w:numPr>
                <w:ilvl w:val="0"/>
                <w:numId w:val="2"/>
              </w:numPr>
              <w:spacing w:after="60" w:line="260"/>
            </w:pPr>
            <w:r>
              <w:rPr>
                <w:rFonts w:ascii="Calibri" w:cs="Calibri" w:eastAsia="Calibri" w:hAnsi="Calibri"/>
                <w:color w:val="16213B"/>
                <w:sz w:val="20"/>
                <w:szCs w:val="20"/>
              </w:rPr>
              <w:t xml:space="preserve">Armazenamento de projetos salvos (IndexedDB do navegador local).</w:t>
            </w:r>
          </w:p>
        </w:tc>
      </w:tr>
    </w:tbl>
    <w:p>
      <w:pPr>
        <w:spacing w:after="100"/>
      </w:pPr>
    </w:p>
    <w:p>
      <w:pPr>
        <w:pStyle w:val="Heading2"/>
        <w:spacing w:after="100" w:before="240"/>
      </w:pPr>
      <w:r>
        <w:rPr>
          <w:rFonts w:ascii="Calibri" w:cs="Calibri" w:eastAsia="Calibri" w:hAnsi="Calibri"/>
          <w:b/>
          <w:bCs/>
          <w:color w:val="16213B"/>
          <w:sz w:val="23"/>
          <w:szCs w:val="23"/>
        </w:rPr>
        <w:t xml:space="preserve">3.2 Fluxos que trafegam para o provedor de IA (Google Gemini ou Anthropic Claude)</w:t>
      </w:r>
    </w:p>
    <w:p>
      <w:pPr>
        <w:spacing w:after="80"/>
      </w:pPr>
    </w:p>
    <w:tbl>
      <w:tblPr>
        <w:tblW w:type="pct" w:w="100%"/>
        <w:tblBorders>
          <w:top w:val="single" w:color="D8D3C4" w:sz="4"/>
          <w:left w:val="single" w:color="D8D3C4" w:sz="4"/>
          <w:bottom w:val="single" w:color="D8D3C4" w:sz="4"/>
          <w:right w:val="single" w:color="D8D3C4" w:sz="4"/>
          <w:insideH w:val="single" w:color="D8D3C4" w:sz="4"/>
          <w:insideV w:val="single" w:color="D8D3C4" w:sz="4"/>
        </w:tblBorders>
      </w:tblPr>
      <w:tblGrid>
        <w:gridCol w:w="4650"/>
        <w:gridCol w:w="4650"/>
      </w:tblGrid>
      <w:tr>
        <w:tc>
          <w:tcPr>
            <w:tcW w:type="dxa" w:w="4650"/>
            <w:shd w:fill="2F6F5E" w:val="clear"/>
            <w:tcMar>
              <w:top w:type="dxa" w:w="90"/>
              <w:left w:type="dxa" w:w="130"/>
              <w:bottom w:type="dxa" w:w="90"/>
              <w:right w:type="dxa" w:w="130"/>
            </w:tcMar>
          </w:tcPr>
          <w:p>
            <w:r>
              <w:rPr>
                <w:rFonts w:ascii="Calibri" w:cs="Calibri" w:eastAsia="Calibri" w:hAnsi="Calibri"/>
                <w:b/>
                <w:bCs/>
                <w:color w:val="FFFFFF"/>
                <w:sz w:val="19"/>
                <w:szCs w:val="19"/>
              </w:rPr>
              <w:t xml:space="preserve">Chamada de IA</w:t>
            </w:r>
          </w:p>
        </w:tc>
        <w:tc>
          <w:tcPr>
            <w:tcW w:type="dxa" w:w="4650"/>
            <w:shd w:fill="2F6F5E" w:val="clear"/>
            <w:tcMar>
              <w:top w:type="dxa" w:w="90"/>
              <w:left w:type="dxa" w:w="130"/>
              <w:bottom w:type="dxa" w:w="90"/>
              <w:right w:type="dxa" w:w="130"/>
            </w:tcMar>
          </w:tcPr>
          <w:p>
            <w:r>
              <w:rPr>
                <w:rFonts w:ascii="Calibri" w:cs="Calibri" w:eastAsia="Calibri" w:hAnsi="Calibri"/>
                <w:b/>
                <w:bCs/>
                <w:color w:val="FFFFFF"/>
                <w:sz w:val="19"/>
                <w:szCs w:val="19"/>
              </w:rPr>
              <w:t xml:space="preserve">Dado pessoal envolvido</w:t>
            </w:r>
          </w:p>
        </w:tc>
      </w:tr>
      <w:tr>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Detecção de estrutura da planilha</w:t>
            </w:r>
          </w:p>
        </w:tc>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Cabeçalhos de coluna e amostra de até 4 linhas por aba, com valores truncados (pode incluir dado pessoal real, em volume limitado)</w:t>
            </w:r>
          </w:p>
        </w:tc>
      </w:tr>
      <w:tr>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Planejamento do dashboard</w:t>
            </w:r>
          </w:p>
        </w:tc>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Perfil estatístico agregado (tipos de campo, cardinalidade, intervalos de valor); não inclui dado pessoal identificável</w:t>
            </w:r>
          </w:p>
        </w:tc>
      </w:tr>
      <w:tr>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Geração de gráfico avulso (edição)</w:t>
            </w:r>
          </w:p>
        </w:tc>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Mesmo perfil agregado do item anterior</w:t>
            </w:r>
          </w:p>
        </w:tc>
      </w:tr>
      <w:tr>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Análises e resumo executivo</w:t>
            </w:r>
          </w:p>
        </w:tc>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Dados já agregados (somas, médias, contagens por categoria); não inclui dado pessoal identificável</w:t>
            </w:r>
          </w:p>
        </w:tc>
      </w:tr>
      <w:tr>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Chat</w:t>
            </w:r>
          </w:p>
        </w:tc>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Resumo agregado dos indicadores e, quando necessário, o resultado agregado de uma consulta sob demanda; nunca registros individuais</w:t>
            </w:r>
          </w:p>
        </w:tc>
      </w:tr>
    </w:tbl>
    <w:p>
      <w:pPr>
        <w:spacing w:after="160"/>
      </w:pPr>
    </w:p>
    <w:p>
      <w:pPr>
        <w:spacing w:after="130" w:line="290"/>
        <w:jc w:val="both"/>
      </w:pPr>
      <w:r>
        <w:rPr>
          <w:rFonts w:ascii="Calibri" w:cs="Calibri" w:eastAsia="Calibri" w:hAnsi="Calibri"/>
          <w:b w:val="false"/>
          <w:bCs w:val="false"/>
          <w:i w:val="false"/>
          <w:iCs w:val="false"/>
          <w:color w:val="16213B"/>
          <w:sz w:val="21"/>
          <w:szCs w:val="21"/>
        </w:rPr>
        <w:t xml:space="preserve">O único ponto do fluxo em que dado pessoal identificável (não agregado) é enviado a um terceiro (o provedor de IA) é a detecção de estrutura, e mesmo assim em volume limitado (até 4 linhas por aba) e com o propósito específico de identificar a estrutura da planilha, não de análise de indivíduos.</w:t>
      </w:r>
    </w:p>
    <w:p>
      <w:pPr>
        <w:pStyle w:val="Heading1"/>
        <w:pBdr>
          <w:bottom w:val="single" w:color="2F6F5E" w:sz="6" w:space="4"/>
        </w:pBdr>
        <w:spacing w:after="160" w:before="380"/>
      </w:pPr>
      <w:r>
        <w:rPr>
          <w:rFonts w:ascii="Calibri" w:cs="Calibri" w:eastAsia="Calibri" w:hAnsi="Calibri"/>
          <w:b/>
          <w:bCs/>
          <w:color w:val="1F4B3F"/>
          <w:sz w:val="28"/>
          <w:szCs w:val="28"/>
        </w:rPr>
        <w:t xml:space="preserve">4. Riscos identificados e medidas de mitigação</w:t>
      </w:r>
    </w:p>
    <w:p>
      <w:pPr>
        <w:spacing w:after="80"/>
      </w:pPr>
    </w:p>
    <w:tbl>
      <w:tblPr>
        <w:tblW w:type="pct" w:w="100%"/>
        <w:tblBorders>
          <w:top w:val="single" w:color="D8D3C4" w:sz="4"/>
          <w:left w:val="single" w:color="D8D3C4" w:sz="4"/>
          <w:bottom w:val="single" w:color="D8D3C4" w:sz="4"/>
          <w:right w:val="single" w:color="D8D3C4" w:sz="4"/>
          <w:insideH w:val="single" w:color="D8D3C4" w:sz="4"/>
          <w:insideV w:val="single" w:color="D8D3C4" w:sz="4"/>
        </w:tblBorders>
      </w:tblPr>
      <w:tblGrid>
        <w:gridCol w:w="4650"/>
        <w:gridCol w:w="4650"/>
      </w:tblGrid>
      <w:tr>
        <w:tc>
          <w:tcPr>
            <w:tcW w:type="dxa" w:w="4650"/>
            <w:shd w:fill="2F6F5E" w:val="clear"/>
            <w:tcMar>
              <w:top w:type="dxa" w:w="90"/>
              <w:left w:type="dxa" w:w="130"/>
              <w:bottom w:type="dxa" w:w="90"/>
              <w:right w:type="dxa" w:w="130"/>
            </w:tcMar>
          </w:tcPr>
          <w:p>
            <w:r>
              <w:rPr>
                <w:rFonts w:ascii="Calibri" w:cs="Calibri" w:eastAsia="Calibri" w:hAnsi="Calibri"/>
                <w:b/>
                <w:bCs/>
                <w:color w:val="FFFFFF"/>
                <w:sz w:val="19"/>
                <w:szCs w:val="19"/>
              </w:rPr>
              <w:t xml:space="preserve">Risco</w:t>
            </w:r>
          </w:p>
        </w:tc>
        <w:tc>
          <w:tcPr>
            <w:tcW w:type="dxa" w:w="4650"/>
            <w:shd w:fill="2F6F5E" w:val="clear"/>
            <w:tcMar>
              <w:top w:type="dxa" w:w="90"/>
              <w:left w:type="dxa" w:w="130"/>
              <w:bottom w:type="dxa" w:w="90"/>
              <w:right w:type="dxa" w:w="130"/>
            </w:tcMar>
          </w:tcPr>
          <w:p>
            <w:r>
              <w:rPr>
                <w:rFonts w:ascii="Calibri" w:cs="Calibri" w:eastAsia="Calibri" w:hAnsi="Calibri"/>
                <w:b/>
                <w:bCs/>
                <w:color w:val="FFFFFF"/>
                <w:sz w:val="19"/>
                <w:szCs w:val="19"/>
              </w:rPr>
              <w:t xml:space="preserve">Medida de mitigação</w:t>
            </w:r>
          </w:p>
        </w:tc>
      </w:tr>
      <w:tr>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Reidentificação de indivíduo a partir de agregado com grupo pequeno (ex: salário médio de um cargo único na empresa)</w:t>
            </w:r>
          </w:p>
        </w:tc>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Supressão automática, em código, de métricas sensíveis (salário, CTC) quando o grupo resultante tem menos de 5 pessoas</w:t>
            </w:r>
          </w:p>
        </w:tc>
      </w:tr>
      <w:tr>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Consulta ou gráfico deliberadamente construído para isolar 1 pessoa (ex: agrupar por nome)</w:t>
            </w:r>
          </w:p>
        </w:tc>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Bloqueio em nível de código de qualquer group_by ou filtro sobre os campos nome, matrícula e CPF, independentemente do que a IA sugerir</w:t>
            </w:r>
          </w:p>
        </w:tc>
      </w:tr>
      <w:tr>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Exposição de dado pessoal na amostra enviada para detecção de estrutura</w:t>
            </w:r>
          </w:p>
        </w:tc>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Volume limitado (4 linhas por aba); risco residual não eliminado, registrado no backlog como melhoria pendente (anonimização de amostra)</w:t>
            </w:r>
          </w:p>
        </w:tc>
      </w:tr>
      <w:tr>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Chave de API do usuário exposta no navegador</w:t>
            </w:r>
          </w:p>
        </w:tc>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Documentado como limitação conhecida da arquitetura sem backend; mitigação completa exigiria um servidor proxy intermediário</w:t>
            </w:r>
          </w:p>
        </w:tc>
      </w:tr>
      <w:tr>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Retenção indefinida de dados em projetos salvos</w:t>
            </w:r>
          </w:p>
        </w:tc>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Dado fica armazenado localmente até exclusão manual pelo usuário ou limpeza de dados do navegador; não há política de expiração automática implementada</w:t>
            </w:r>
          </w:p>
        </w:tc>
      </w:tr>
      <w:tr>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Viés algorítmico em análises geradas por IA (ex: interpretação de risco de desligamento por perfil)</w:t>
            </w:r>
          </w:p>
        </w:tc>
        <w:tc>
          <w:tcPr>
            <w:tcW w:type="dxa" w:w="4650"/>
            <w:tcMar>
              <w:top w:type="dxa" w:w="90"/>
              <w:left w:type="dxa" w:w="130"/>
              <w:bottom w:type="dxa" w:w="90"/>
              <w:right w:type="dxa" w:w="130"/>
            </w:tcMar>
          </w:tcPr>
          <w:p>
            <w:r>
              <w:rPr>
                <w:rFonts w:ascii="Calibri" w:cs="Calibri" w:eastAsia="Calibri" w:hAnsi="Calibri"/>
                <w:b w:val="false"/>
                <w:bCs w:val="false"/>
                <w:color w:val="16213B"/>
                <w:sz w:val="19"/>
                <w:szCs w:val="19"/>
              </w:rPr>
              <w:t xml:space="preserve">Textos gerados pela IA são sempre rotulados como estimativa estatística agregada, nunca como veredito sobre uma pessoa específica; a exatidão numérica em si vem do motor determinístico, não da IA</w:t>
            </w:r>
          </w:p>
        </w:tc>
      </w:tr>
    </w:tbl>
    <w:p>
      <w:pPr>
        <w:pStyle w:val="Heading1"/>
        <w:pBdr>
          <w:bottom w:val="single" w:color="2F6F5E" w:sz="6" w:space="4"/>
        </w:pBdr>
        <w:spacing w:after="160" w:before="380"/>
      </w:pPr>
      <w:r>
        <w:rPr>
          <w:rFonts w:ascii="Calibri" w:cs="Calibri" w:eastAsia="Calibri" w:hAnsi="Calibri"/>
          <w:b/>
          <w:bCs/>
          <w:color w:val="1F4B3F"/>
          <w:sz w:val="28"/>
          <w:szCs w:val="28"/>
        </w:rPr>
        <w:t xml:space="preserve">5. Direitos do titular de dados</w:t>
      </w:r>
    </w:p>
    <w:p>
      <w:pPr>
        <w:spacing w:after="130" w:line="290"/>
        <w:jc w:val="both"/>
      </w:pPr>
      <w:r>
        <w:rPr>
          <w:rFonts w:ascii="Calibri" w:cs="Calibri" w:eastAsia="Calibri" w:hAnsi="Calibri"/>
          <w:b w:val="false"/>
          <w:bCs w:val="false"/>
          <w:i w:val="false"/>
          <w:iCs w:val="false"/>
          <w:color w:val="16213B"/>
          <w:sz w:val="21"/>
          <w:szCs w:val="21"/>
        </w:rPr>
        <w:t xml:space="preserve">Por se tratar de uma ferramenta client-side sem banco de dados central controlado pelo desenvolvedor da plataforma, os pedidos de acesso, correção ou exclusão de dados pessoais (direitos previstos no art. 18 da LGPD) devem ser direcionados à organização que efetivamente controla os dados (o empregador que utiliza a ferramenta), não à plataforma em si. Cabe a cada organização usuária estabelecer seu próprio canal de atendimento a esses pedidos.</w:t>
      </w:r>
    </w:p>
    <w:p>
      <w:pPr>
        <w:pStyle w:val="Heading1"/>
        <w:pBdr>
          <w:bottom w:val="single" w:color="2F6F5E" w:sz="6" w:space="4"/>
        </w:pBdr>
        <w:spacing w:after="160" w:before="380"/>
      </w:pPr>
      <w:r>
        <w:rPr>
          <w:rFonts w:ascii="Calibri" w:cs="Calibri" w:eastAsia="Calibri" w:hAnsi="Calibri"/>
          <w:b/>
          <w:bCs/>
          <w:color w:val="1F4B3F"/>
          <w:sz w:val="28"/>
          <w:szCs w:val="28"/>
        </w:rPr>
        <w:t xml:space="preserve">6. Recomendações para uso responsável</w:t>
      </w: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2F0E8" w:val="clear"/>
            <w:tcMar>
              <w:top w:type="dxa" w:w="140"/>
              <w:left w:type="dxa" w:w="220"/>
              <w:bottom w:type="dxa" w:w="160"/>
              <w:right w:type="dxa" w:w="220"/>
            </w:tcMar>
          </w:tcPr>
          <w:p>
            <w:pPr>
              <w:pStyle w:val="ListParagraph"/>
              <w:numPr>
                <w:ilvl w:val="0"/>
                <w:numId w:val="2"/>
              </w:numPr>
              <w:spacing w:after="60" w:line="260"/>
            </w:pPr>
            <w:r>
              <w:rPr>
                <w:rFonts w:ascii="Calibri" w:cs="Calibri" w:eastAsia="Calibri" w:hAnsi="Calibri"/>
                <w:color w:val="16213B"/>
                <w:sz w:val="20"/>
                <w:szCs w:val="20"/>
              </w:rPr>
              <w:t xml:space="preserve">Restringir o acesso à plataforma e à chave de API a pessoas autorizadas a tratar dados de RH na organização.</w:t>
            </w:r>
          </w:p>
          <w:p>
            <w:pPr>
              <w:pStyle w:val="ListParagraph"/>
              <w:numPr>
                <w:ilvl w:val="0"/>
                <w:numId w:val="2"/>
              </w:numPr>
              <w:spacing w:after="60" w:line="260"/>
            </w:pPr>
            <w:r>
              <w:rPr>
                <w:rFonts w:ascii="Calibri" w:cs="Calibri" w:eastAsia="Calibri" w:hAnsi="Calibri"/>
                <w:color w:val="16213B"/>
                <w:sz w:val="20"/>
                <w:szCs w:val="20"/>
              </w:rPr>
              <w:t xml:space="preserve">Evitar o upload de bases contendo dados de saúde detalhados ou outras categorias de dado sensível além do estritamente necessário para os indicadores desejados.</w:t>
            </w:r>
          </w:p>
          <w:p>
            <w:pPr>
              <w:pStyle w:val="ListParagraph"/>
              <w:numPr>
                <w:ilvl w:val="0"/>
                <w:numId w:val="2"/>
              </w:numPr>
              <w:spacing w:after="60" w:line="260"/>
            </w:pPr>
            <w:r>
              <w:rPr>
                <w:rFonts w:ascii="Calibri" w:cs="Calibri" w:eastAsia="Calibri" w:hAnsi="Calibri"/>
                <w:color w:val="16213B"/>
                <w:sz w:val="20"/>
                <w:szCs w:val="20"/>
              </w:rPr>
              <w:t xml:space="preserve">Revisar periodicamente os projetos salvos e excluir bases que não sejam mais necessárias.</w:t>
            </w:r>
          </w:p>
          <w:p>
            <w:pPr>
              <w:pStyle w:val="ListParagraph"/>
              <w:numPr>
                <w:ilvl w:val="0"/>
                <w:numId w:val="2"/>
              </w:numPr>
              <w:spacing w:after="60" w:line="260"/>
            </w:pPr>
            <w:r>
              <w:rPr>
                <w:rFonts w:ascii="Calibri" w:cs="Calibri" w:eastAsia="Calibri" w:hAnsi="Calibri"/>
                <w:color w:val="16213B"/>
                <w:sz w:val="20"/>
                <w:szCs w:val="20"/>
              </w:rPr>
              <w:t xml:space="preserve">Caso a plataforma venha a ser usada por múltiplas organizações ou publicada externamente, revisar esta análise antes da mudança, especialmente os pontos 3.2 (fluxo com terceiro) e 5 (direitos do titular).</w:t>
            </w:r>
          </w:p>
        </w:tc>
      </w:tr>
    </w:tbl>
    <w:p>
      <w:pPr>
        <w:spacing w:after="200"/>
      </w:pPr>
    </w:p>
    <w:p>
      <w:pPr>
        <w:spacing w:after="130" w:line="290"/>
        <w:jc w:val="both"/>
      </w:pPr>
      <w:r>
        <w:rPr>
          <w:rFonts w:ascii="Calibri" w:cs="Calibri" w:eastAsia="Calibri" w:hAnsi="Calibri"/>
          <w:b w:val="false"/>
          <w:bCs w:val="false"/>
          <w:i w:val="false"/>
          <w:iCs w:val="false"/>
          <w:color w:val="16213B"/>
          <w:sz w:val="21"/>
          <w:szCs w:val="21"/>
        </w:rPr>
        <w:t xml:space="preserve">Este documento não substitui aconselhamento jurídico formal sobre proteção de dados. Recomenda-se revisão por profissional ou setor jurídico da organização antes de qualquer uso em produção com dados reais de colaboradores.</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2026-08-27T23:44:26.532Z</dcterms:created>
  <dcterms:modified xsi:type="dcterms:W3CDTF">2026-08-27T23:44:26.532Z</dcterms:modified>
</cp:coreProperties>
</file>

<file path=docProps/custom.xml><?xml version="1.0" encoding="utf-8"?>
<Properties xmlns="http://schemas.openxmlformats.org/officeDocument/2006/custom-properties" xmlns:vt="http://schemas.openxmlformats.org/officeDocument/2006/docPropsVTypes"/>
</file>