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Calibri" w:cs="Calibri" w:eastAsia="Calibri" w:hAnsi="Calibri"/>
          <w:b/>
          <w:bCs/>
          <w:color w:val="2F6F5E"/>
          <w:spacing w:val="24"/>
          <w:sz w:val="20"/>
          <w:szCs w:val="20"/>
        </w:rPr>
        <w:t xml:space="preserve">PAINEL DE PESSOAS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6213B"/>
          <w:sz w:val="40"/>
          <w:szCs w:val="40"/>
        </w:rPr>
        <w:t xml:space="preserve">Referencial Teórico</w:t>
      </w:r>
    </w:p>
    <w:p>
      <w:pPr>
        <w:spacing w:after="500"/>
      </w:pPr>
      <w:r>
        <w:rPr>
          <w:rFonts w:ascii="Calibri" w:cs="Calibri" w:eastAsia="Calibri" w:hAnsi="Calibri"/>
          <w:i/>
          <w:iCs/>
          <w:color w:val="5A6472"/>
          <w:sz w:val="22"/>
          <w:szCs w:val="22"/>
        </w:rPr>
        <w:t xml:space="preserve">Fundamentação conceitual: People Analytics, democratização de dados, geração de visualizações por IA e confiabilidade de modelos de linguagem</w:t>
      </w:r>
    </w:p>
    <w:p>
      <w:pPr>
        <w:pBdr>
          <w:bottom w:val="single" w:color="2F6F5E" w:sz="10" w:space="1"/>
        </w:pBdr>
        <w:spacing w:after="500"/>
      </w:pPr>
    </w:p>
    <w:p>
      <w:pPr>
        <w:pStyle w:val="Heading1"/>
        <w:pBdr>
          <w:bottom w:val="single" w:color="2F6F5E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4B3F"/>
          <w:sz w:val="28"/>
          <w:szCs w:val="28"/>
        </w:rPr>
        <w:t xml:space="preserve">1. People Analytics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16213B"/>
          <w:sz w:val="21"/>
          <w:szCs w:val="21"/>
        </w:rPr>
        <w:t xml:space="preserve">People Analytics é definido, de forma recorrente na literatura, como a aplicação de métodos de análise de dados à gestão de pessoas, com o objetivo de tornar decisões de Recursos Humanos mais estratégicas e menos baseadas apenas em intuição. Revisões sistemáticas recentes da literatura brasileira e internacional sobre o tema mostram que, apesar de o conceito já estar consolidado academicamente, a produção científica ainda concentra esforços em discutir a forma de implementação nas organizações e seus impactos sobre processos como recrutamento, seleção, desempenho e qualificação de dados.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16213B"/>
          <w:sz w:val="21"/>
          <w:szCs w:val="21"/>
        </w:rPr>
        <w:t xml:space="preserve">Angrave et al. (2016), em artigo amplamente citado na área, argumentam que a área de RH corre o risco de não aproveitar plenamente o potencial do big data justamente por depender de ferramentas e conhecimento técnico normalmente concentrados na área de Tecnologia da Informação, e não na própria gestão de pessoas. Essa constatação é central para este trabalho: parte do valor de uma plataforma de People Analytics está em reduzir a distância entre quem possui a pergunta de negócio (o RH) e quem consegue extrair a resposta dos dados.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16213B"/>
          <w:sz w:val="21"/>
          <w:szCs w:val="21"/>
        </w:rPr>
        <w:t xml:space="preserve">Barends, Rousseau e Briner (2014) situam esse movimento dentro da chamada gestão baseada em evidências (evidence-based management), segundo a qual decisões organizacionais devem se apoiar em múltiplas fontes de evidência, entre elas os dados internos da própria organização, e não apenas em experiência ou julgamento não estruturado.</w:t>
      </w:r>
    </w:p>
    <w:p>
      <w:pPr>
        <w:pStyle w:val="Heading1"/>
        <w:pBdr>
          <w:bottom w:val="single" w:color="2F6F5E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4B3F"/>
          <w:sz w:val="28"/>
          <w:szCs w:val="28"/>
        </w:rPr>
        <w:t xml:space="preserve">2. Democratização de dados e redução da dependência de TI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16213B"/>
          <w:sz w:val="21"/>
          <w:szCs w:val="21"/>
        </w:rPr>
        <w:t xml:space="preserve">A ideia de reduzir a dependência das áreas de negócio em relação à Tecnologia da Informação para obter soluções de dados não é nova, e possui base teórica consolidada em duas frentes complementares: o self-service business intelligence (SSBI) e o citizen development.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16213B"/>
          <w:sz w:val="21"/>
          <w:szCs w:val="21"/>
        </w:rPr>
        <w:t xml:space="preserve">O TDWI (The Data Warehousing Institute) define self-service BI como o conjunto de recursos, dentro do ambiente de BI, que tornam os usuários de negócio mais autossuficientes e menos dependentes da área de TI, cobrindo desde o acesso mais fácil aos dados de origem até interfaces finais mais simples e personalizáveis. Arnaboldi, Robbiani e Carlucci (2021), em estudo publicado no Journal of Accounting and Organizational Change, aprofundam essa definição ao caracterizar o SSBI pela dualidade entre alta co-produção (o próprio usuário de negócio participa da construção da análise) e baixa dependência de especialistas técnicos.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16213B"/>
          <w:sz w:val="21"/>
          <w:szCs w:val="21"/>
        </w:rPr>
        <w:t xml:space="preserve">Em paralelo, o conceito de citizen development, formalizado pelo Gartner e adotado pelo Project Management Institute (PMI), descreve o profissional que cria ou modifica soluções digitais para consumo próprio ou de terceiros usando ferramentas que não exigem conhecimento avançado de programação, sem depender exclusivamente da área de TI. O PMI destaca que o crescimento dos backlogs de TI, decorrente de uma demanda por soluções digitais que cresce mais rápido do que a capacidade de entrega das equipes técnicas, é o principal fator que impulsiona esse movimento.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16213B"/>
          <w:sz w:val="21"/>
          <w:szCs w:val="21"/>
        </w:rPr>
        <w:t xml:space="preserve">Esses dois referenciais sustentam diretamente a motivação deste trabalho: a proposta de uma plataforma que interpreta uma planilha e gera um dashboard sob medida, sem exigir modelagem prévia de dados nem intervenção de um analista técnico, é uma aplicação concreta dos princípios de SSBI e citizen development ao domínio de Recursos Humanos, com potencial de generalização para outras áreas de negócio.</w:t>
      </w:r>
    </w:p>
    <w:p>
      <w:pPr>
        <w:pStyle w:val="Heading1"/>
        <w:pBdr>
          <w:bottom w:val="single" w:color="2F6F5E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4B3F"/>
          <w:sz w:val="28"/>
          <w:szCs w:val="28"/>
        </w:rPr>
        <w:t xml:space="preserve">3. Modelos de linguagem para geração de visualizações a partir de dados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16213B"/>
          <w:sz w:val="21"/>
          <w:szCs w:val="21"/>
        </w:rPr>
        <w:t xml:space="preserve">A tarefa de converter uma pergunta ou uma base de dados em uma visualização adequada, sem que o usuário precise especificar manualmente o tipo de gráfico ou a consulta subjacente, é estudada na literatura de visualização de dados sob o nome de Text-to-Vis (texto para visualização). Luo et al. (2018), com o sistema DeepEye, e trabalhos posteriores da mesma linha de pesquisa, propõem pipelines que recebem uma pergunta em linguagem natural ou um conjunto de dados e produzem automaticamente uma especificação de visualização.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16213B"/>
          <w:sz w:val="21"/>
          <w:szCs w:val="21"/>
        </w:rPr>
        <w:t xml:space="preserve">Um elemento recorrente nesses sistemas é o uso de linguagens declarativas de visualização (declarative visualization languages), como o Vega-Lite (Satyanarayan et al., 2016), nas quais o gráfico é descrito como uma especificação estruturada (que dados usar, como agrupar, qual codificação visual aplicar), e não como uma sequência imperativa de instruções de desenho. Esse padrão de projeto é o mesmo adotado neste trabalho: a IA nunca gera código de renderização diretamente, apenas uma especificação declarativa (fonte de dados, filtro, agrupamento, métrica), que é então validada e executada por um motor determinístico separado.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16213B"/>
          <w:sz w:val="21"/>
          <w:szCs w:val="21"/>
        </w:rPr>
        <w:t xml:space="preserve">Mais recentemente, ferramentas como o LIDA, biblioteca de código aberto mantida pela Microsoft Research, aplicam modelos de linguagem de propósito geral para recomendar visualizações automaticamente a partir de um conjunto de dados, reforçando que a abordagem de usar um LLM como camada de decisão sobre o que visualizar, mantendo a geração do gráfico em si separada, é uma prática já estabelecida na área, e não uma escolha de projeto isolada.</w:t>
      </w:r>
    </w:p>
    <w:p>
      <w:pPr>
        <w:pStyle w:val="Heading1"/>
        <w:pBdr>
          <w:bottom w:val="single" w:color="2F6F5E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4B3F"/>
          <w:sz w:val="28"/>
          <w:szCs w:val="28"/>
        </w:rPr>
        <w:t xml:space="preserve">4. Confiabilidade de modelos de linguagem: alucinação e mitigação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16213B"/>
          <w:sz w:val="21"/>
          <w:szCs w:val="21"/>
        </w:rPr>
        <w:t xml:space="preserve">O uso de modelos de linguagem para tarefas que exigem precisão factual esbarra em um problema amplamente documentado na literatura: a alucinação, definida como a geração de conteúdo que não corresponde à realidade ou ao contexto fornecido, mesmo quando apresentado de forma linguisticamente coerente e confiante. Levantamentos recentes (2025-2026) sobre o tema mostram que aumentar o tamanho do modelo, isoladamente, não elimina esse problema: benchmarks como o TruthfulQA demonstram que modelos maiores podem, em certas categorias de pergunta, ser até menos precisos.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16213B"/>
          <w:sz w:val="21"/>
          <w:szCs w:val="21"/>
        </w:rPr>
        <w:t xml:space="preserve">A literatura de mitigação de alucinação organiza as estratégias existentes em quatro grandes categorias: abordagens baseadas em prompt (instruções explícitas de fundamentação), em recuperação de informação externa (retrieval-augmented generation), em técnicas de raciocínio estruturado, e em ajuste do próprio modelo. Nenhuma dessas abordagens, isoladamente, elimina completamente o risco de alucinação, o que reforça a necessidade de camadas adicionais de verificação quando a aplicação exige exatidão numérica, como é o caso de um dashboard corporativo.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16213B"/>
          <w:sz w:val="21"/>
          <w:szCs w:val="21"/>
        </w:rPr>
        <w:t xml:space="preserve">Um artigo particularmente relevante para este trabalho, "Beyond Fine-Tuning: Effective Strategies for Mitigating Hallucinations in Large Language Models for Data Analytics", propõe exatamente a estratégia adotada aqui: fazer o modelo produzir uma saída estruturada, que é avaliada quanto à sua correção antes de qualquer resposta em linguagem natural ser gerada, de modo que a resposta final fique fundamentada em um processo de recuperação de dados verificável. Os autores argumentam que a geração de saída estruturada reduz a ambiguidade da resposta do modelo, limitando o espaço para afirmações especulativas.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16213B"/>
          <w:sz w:val="21"/>
          <w:szCs w:val="21"/>
        </w:rPr>
        <w:t xml:space="preserve">Este trabalho aplica esse princípio de forma sistemática: a IA nunca é autorizada a produzir um número diretamente. Em vez disso, ela produz uma especificação estruturada (JSON) que é validada deterministicamente contra o esquema real dos dados e, somente então, executada por um motor de cálculo convencional. Isso corresponde, na prática, a uma estratégia de mitigação de alucinação centrada em prompt e em geração de saída estruturada, sem depender de técnicas mais custosas como ajuste fino (fine-tuning) do modelo.</w:t>
      </w:r>
    </w:p>
    <w:p>
      <w:pPr>
        <w:pStyle w:val="Heading1"/>
        <w:pBdr>
          <w:bottom w:val="single" w:color="2F6F5E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4B3F"/>
          <w:sz w:val="28"/>
          <w:szCs w:val="28"/>
        </w:rPr>
        <w:t xml:space="preserve">5. Síntese: posicionamento deste trabalho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16213B"/>
          <w:sz w:val="21"/>
          <w:szCs w:val="21"/>
        </w:rPr>
        <w:t xml:space="preserve">Reunindo os quatro referenciais apresentados, este trabalho se posiciona na interseção entre People Analytics (o domínio de aplicação), self-service BI e citizen development (a motivação organizacional de reduzir a dependência da área de TI), e a literatura de Text-to-Vis e mitigação de alucinação em modelos de linguagem (a base técnica que sustenta a confiabilidade da solução proposta).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16213B"/>
          <w:sz w:val="21"/>
          <w:szCs w:val="21"/>
        </w:rPr>
        <w:t xml:space="preserve">A contribuição específica deste trabalho, à luz dessa literatura, está em combinar esses elementos em uma única arquitetura aplicada a um domínio de negócio concreto (RH), avaliando empiricamente, por meio de uma suíte própria de testes com bases sintéticas e gabarito, a viabilidade prática dessa combinação: até que ponto um modelo de linguagem consegue interpretar corretamente a estrutura de uma base desconhecida e propor visualizações relevantes, quando sua saída é sistematicamente validada antes de chegar ao usuário final.</w:t>
      </w:r>
    </w:p>
    <w:p>
      <w:pPr>
        <w:pStyle w:val="Heading1"/>
        <w:pBdr>
          <w:bottom w:val="single" w:color="2F6F5E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4B3F"/>
          <w:sz w:val="28"/>
          <w:szCs w:val="28"/>
        </w:rPr>
        <w:t xml:space="preserve">Referências</w:t>
      </w:r>
    </w:p>
    <w:p>
      <w:pPr>
        <w:spacing w:after="120" w:line="270"/>
        <w:ind w:left="360" w:hanging="360"/>
      </w:pPr>
      <w:r>
        <w:rPr>
          <w:rFonts w:ascii="Calibri" w:cs="Calibri" w:eastAsia="Calibri" w:hAnsi="Calibri"/>
          <w:color w:val="16213B"/>
          <w:sz w:val="19"/>
          <w:szCs w:val="19"/>
        </w:rPr>
        <w:t xml:space="preserve">ANGRAVE, D.; CHARLWOOD, A.; KIRKPATRICK, I.; LAWRENCE, M.; STUART, M. HR and analytics: Why HR is set to fail the big data challenge. Human Resource Management Journal, v. 26, p. 1-11, 2016.</w:t>
      </w:r>
    </w:p>
    <w:p>
      <w:pPr>
        <w:spacing w:after="120" w:line="270"/>
        <w:ind w:left="360" w:hanging="360"/>
      </w:pPr>
      <w:r>
        <w:rPr>
          <w:rFonts w:ascii="Calibri" w:cs="Calibri" w:eastAsia="Calibri" w:hAnsi="Calibri"/>
          <w:color w:val="16213B"/>
          <w:sz w:val="19"/>
          <w:szCs w:val="19"/>
        </w:rPr>
        <w:t xml:space="preserve">ARNABOLDI, M.; ROBBIANI, A.; CARLUCCI, P. On the relevance of self-service business intelligence to university management. Journal of Accounting &amp; Organizational Change, v. 17, n. 1, p. 5-22, 2021. Disponível em: https://www.emerald.com/jaoc/article/17/1/5/217381</w:t>
      </w:r>
    </w:p>
    <w:p>
      <w:pPr>
        <w:spacing w:after="120" w:line="270"/>
        <w:ind w:left="360" w:hanging="360"/>
      </w:pPr>
      <w:r>
        <w:rPr>
          <w:rFonts w:ascii="Calibri" w:cs="Calibri" w:eastAsia="Calibri" w:hAnsi="Calibri"/>
          <w:color w:val="16213B"/>
          <w:sz w:val="19"/>
          <w:szCs w:val="19"/>
        </w:rPr>
        <w:t xml:space="preserve">BARENDS, E.; ROUSSEAU, D. M.; BRINER, R. B. Evidence-based management: The basic principles. Center for Evidence-Based Management, 2014.</w:t>
      </w:r>
    </w:p>
    <w:p>
      <w:pPr>
        <w:spacing w:after="120" w:line="270"/>
        <w:ind w:left="360" w:hanging="360"/>
      </w:pPr>
      <w:r>
        <w:rPr>
          <w:rFonts w:ascii="Calibri" w:cs="Calibri" w:eastAsia="Calibri" w:hAnsi="Calibri"/>
          <w:color w:val="16213B"/>
          <w:sz w:val="19"/>
          <w:szCs w:val="19"/>
        </w:rPr>
        <w:t xml:space="preserve">GARTNER apud UMOV.ME. Citizen developer: entenda o que é e por que implementar na sua empresa. Disponível em: https://www.umov.me/blog/citizen-developer/</w:t>
      </w:r>
    </w:p>
    <w:p>
      <w:pPr>
        <w:spacing w:after="120" w:line="270"/>
        <w:ind w:left="360" w:hanging="360"/>
      </w:pPr>
      <w:r>
        <w:rPr>
          <w:rFonts w:ascii="Calibri" w:cs="Calibri" w:eastAsia="Calibri" w:hAnsi="Calibri"/>
          <w:color w:val="16213B"/>
          <w:sz w:val="19"/>
          <w:szCs w:val="19"/>
        </w:rPr>
        <w:t xml:space="preserve">LI, Y.; FU, X.; VERMA, G.; BUITELAAR, P.; LIU, M. Mitigating Hallucination in Large Language Models (LLMs): An Application-Oriented Survey on RAG, Reasoning, and Agentic Systems. arXiv:2510.24476, 2026. Disponível em: https://arxiv.org/pdf/2510.24476</w:t>
      </w:r>
    </w:p>
    <w:p>
      <w:pPr>
        <w:spacing w:after="120" w:line="270"/>
        <w:ind w:left="360" w:hanging="360"/>
      </w:pPr>
      <w:r>
        <w:rPr>
          <w:rFonts w:ascii="Calibri" w:cs="Calibri" w:eastAsia="Calibri" w:hAnsi="Calibri"/>
          <w:color w:val="16213B"/>
          <w:sz w:val="19"/>
          <w:szCs w:val="19"/>
        </w:rPr>
        <w:t xml:space="preserve">LUO, Y.; QIN, X.; TANG, N.; LI, G. Deepeye: Towards automatic data visualization. In: IEEE 34th International Conference on Data Engineering (ICDE), 2018, p. 101-112.</w:t>
      </w:r>
    </w:p>
    <w:p>
      <w:pPr>
        <w:spacing w:after="120" w:line="270"/>
        <w:ind w:left="360" w:hanging="360"/>
      </w:pPr>
      <w:r>
        <w:rPr>
          <w:rFonts w:ascii="Calibri" w:cs="Calibri" w:eastAsia="Calibri" w:hAnsi="Calibri"/>
          <w:color w:val="16213B"/>
          <w:sz w:val="19"/>
          <w:szCs w:val="19"/>
        </w:rPr>
        <w:t xml:space="preserve">MICROSOFT RESEARCH. LIDA: Automatic Generation of Visualizations and Infographics using Large Language Models. Disponível em: https://github.com/microsoft/lida</w:t>
      </w:r>
    </w:p>
    <w:p>
      <w:pPr>
        <w:spacing w:after="120" w:line="270"/>
        <w:ind w:left="360" w:hanging="360"/>
      </w:pPr>
      <w:r>
        <w:rPr>
          <w:rFonts w:ascii="Calibri" w:cs="Calibri" w:eastAsia="Calibri" w:hAnsi="Calibri"/>
          <w:color w:val="16213B"/>
          <w:sz w:val="19"/>
          <w:szCs w:val="19"/>
        </w:rPr>
        <w:t xml:space="preserve">PROJECT MANAGEMENT INSTITUTE (PMI). Citizen Developer. Disponível em: https://www.pmi.org/citizen-developer/</w:t>
      </w:r>
    </w:p>
    <w:p>
      <w:pPr>
        <w:spacing w:after="120" w:line="270"/>
        <w:ind w:left="360" w:hanging="360"/>
      </w:pPr>
      <w:r>
        <w:rPr>
          <w:rFonts w:ascii="Calibri" w:cs="Calibri" w:eastAsia="Calibri" w:hAnsi="Calibri"/>
          <w:color w:val="16213B"/>
          <w:sz w:val="19"/>
          <w:szCs w:val="19"/>
        </w:rPr>
        <w:t xml:space="preserve">SATYANARAYAN, A. et al. Vega-Lite: A Grammar of Interactive Graphics. IEEE Transactions on Visualization and Computer Graphics, 2016 (citado em trabalhos de Text-to-Vis sobre linguagens declarativas de visualização).</w:t>
      </w:r>
    </w:p>
    <w:p>
      <w:pPr>
        <w:spacing w:after="120" w:line="270"/>
        <w:ind w:left="360" w:hanging="360"/>
      </w:pPr>
      <w:r>
        <w:rPr>
          <w:rFonts w:ascii="Calibri" w:cs="Calibri" w:eastAsia="Calibri" w:hAnsi="Calibri"/>
          <w:color w:val="16213B"/>
          <w:sz w:val="19"/>
          <w:szCs w:val="19"/>
        </w:rPr>
        <w:t xml:space="preserve">TDWI / TABLEAU. Self-Service Business Intelligence: Empowering Users to Generate Insights. Disponível em: https://www.tableau.com/learn/whitepapers/tdwi-self-service-business-intelligence</w:t>
      </w:r>
    </w:p>
    <w:p>
      <w:pPr>
        <w:spacing w:after="120" w:line="270"/>
        <w:ind w:left="360" w:hanging="360"/>
      </w:pPr>
      <w:r>
        <w:rPr>
          <w:rFonts w:ascii="Calibri" w:cs="Calibri" w:eastAsia="Calibri" w:hAnsi="Calibri"/>
          <w:color w:val="16213B"/>
          <w:sz w:val="19"/>
          <w:szCs w:val="19"/>
        </w:rPr>
        <w:t xml:space="preserve">Artigo sem autoria individual identificada. A Comprehensive Survey of Hallucination in Large Language Models: Causes, Detection, and Mitigation. arXiv:2510.06265, 2026. Disponível em: https://arxiv.org/html/2510.06265v1</w:t>
      </w:r>
    </w:p>
    <w:p>
      <w:pPr>
        <w:spacing w:after="120" w:line="270"/>
        <w:ind w:left="360" w:hanging="360"/>
      </w:pPr>
      <w:r>
        <w:rPr>
          <w:rFonts w:ascii="Calibri" w:cs="Calibri" w:eastAsia="Calibri" w:hAnsi="Calibri"/>
          <w:color w:val="16213B"/>
          <w:sz w:val="19"/>
          <w:szCs w:val="19"/>
        </w:rPr>
        <w:t xml:space="preserve">Artigo sem autoria individual identificada. Beyond Fine-Tuning: Effective Strategies for Mitigating Hallucinations in Large Language Models for Data Analytics. arXiv:2410.20024. Disponível em: https://arxiv.org/pdf/2410.20024</w:t>
      </w:r>
    </w:p>
    <w:p>
      <w:pPr>
        <w:spacing w:after="120" w:line="270"/>
        <w:ind w:left="360" w:hanging="360"/>
      </w:pPr>
      <w:r>
        <w:rPr>
          <w:rFonts w:ascii="Calibri" w:cs="Calibri" w:eastAsia="Calibri" w:hAnsi="Calibri"/>
          <w:color w:val="16213B"/>
          <w:sz w:val="19"/>
          <w:szCs w:val="19"/>
        </w:rPr>
        <w:t xml:space="preserve">Revisão sistemática de literatura brasileira. People Analytics: Uma Revisão Sistemática de Literatura. Disponível em: https://anpad.com.br/uploads/articles/119/approved/8c26d2fad09dc76f3ff36b6ea752b0e1.pdf</w:t>
      </w:r>
    </w:p>
    <w:p>
      <w:pPr>
        <w:spacing w:after="200"/>
      </w:pPr>
    </w:p>
    <w:p>
      <w:pPr>
        <w:spacing w:after="140" w:line="300"/>
        <w:jc w:val="both"/>
      </w:pPr>
      <w:r>
        <w:rPr>
          <w:rFonts w:ascii="Calibri" w:cs="Calibri" w:eastAsia="Calibri" w:hAnsi="Calibri"/>
          <w:color w:val="16213B"/>
          <w:sz w:val="21"/>
          <w:szCs w:val="21"/>
        </w:rPr>
        <w:t xml:space="preserve">Nota: as referências acima foram localizadas por busca em 27/08/2026 e devem ser conferidas e complementadas com a bibliografia formal exigida pelas normas da instituição (ABNT ou outra), incluindo verificação de edição, editora e demais dados bibliográficos completos antes da entrega final do trabalho.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1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2026-08-27T23:29:33.000Z</dcterms:created>
  <dcterms:modified xsi:type="dcterms:W3CDTF">2026-08-27T23:29:33.021Z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