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40"/>
          <w:szCs w:val="40"/>
        </w:rPr>
        <w:t xml:space="preserve">Trabalhos Relacionados</w:t>
      </w:r>
    </w:p>
    <w:p>
      <w:pPr>
        <w:spacing w:after="500"/>
      </w:pPr>
      <w:r>
        <w:rPr>
          <w:rFonts w:ascii="Calibri" w:cs="Calibri" w:eastAsia="Calibri" w:hAnsi="Calibri"/>
          <w:i/>
          <w:iCs/>
          <w:color w:val="5A6472"/>
          <w:sz w:val="22"/>
          <w:szCs w:val="22"/>
        </w:rPr>
        <w:t xml:space="preserve">Comparação com ferramentas de BI, IA conversacional e geradores de dashboard existentes no mercado</w:t>
      </w:r>
    </w:p>
    <w:p>
      <w:pPr>
        <w:pBdr>
          <w:bottom w:val="single" w:color="2F6F5E" w:sz="10" w:space="1"/>
        </w:pBdr>
        <w:spacing w:after="500"/>
      </w:pPr>
    </w:p>
    <w:p>
      <w:pPr>
        <w:spacing w:after="130" w:line="290"/>
        <w:jc w:val="both"/>
      </w:pPr>
      <w:r>
        <w:rPr>
          <w:rFonts w:ascii="Calibri" w:cs="Calibri" w:eastAsia="Calibri" w:hAnsi="Calibri"/>
          <w:color w:val="16213B"/>
          <w:sz w:val="21"/>
          <w:szCs w:val="21"/>
        </w:rPr>
        <w:t xml:space="preserve">Este capítulo situa a plataforma desenvolvida em relação a três categorias de ferramentas de mercado que também combinam dados e inteligência artificial: (1) suítes tradicionais de Business Intelligence com IA agregada, (2) ferramentas de "conversar com os dados" de propósito geral, e (3) construtores de dashboard por IA conectados a infraestrutura de dados corporativa. A comparação foi construída a partir de fontes públicas atualizadas (2026), não de testes diretos com essas ferramentas comerciais.</w:t>
      </w:r>
    </w:p>
    <w:p>
      <w:pPr>
        <w:pStyle w:val="Heading1"/>
        <w:pBdr>
          <w:bottom w:val="single" w:color="2F6F5E" w:sz="6" w:space="4"/>
        </w:pBdr>
        <w:spacing w:after="160" w:before="380"/>
      </w:pPr>
      <w:r>
        <w:rPr>
          <w:rFonts w:ascii="Calibri" w:cs="Calibri" w:eastAsia="Calibri" w:hAnsi="Calibri"/>
          <w:b/>
          <w:bCs/>
          <w:color w:val="1F4B3F"/>
          <w:sz w:val="28"/>
          <w:szCs w:val="28"/>
        </w:rPr>
        <w:t xml:space="preserve">1. BI tradicional com IA agregada: Power BI Copilot e Tableau Agent</w:t>
      </w:r>
    </w:p>
    <w:p>
      <w:pPr>
        <w:spacing w:after="130" w:line="290"/>
        <w:jc w:val="both"/>
      </w:pPr>
      <w:r>
        <w:rPr>
          <w:rFonts w:ascii="Calibri" w:cs="Calibri" w:eastAsia="Calibri" w:hAnsi="Calibri"/>
          <w:color w:val="16213B"/>
          <w:sz w:val="21"/>
          <w:szCs w:val="21"/>
        </w:rPr>
        <w:t xml:space="preserve">O Power BI Copilot permite gerar páginas de relatório inteiras a partir de uma descrição em linguagem natural, como "criar um dashboard de desempenho de vendas mostrando receita por região", produzindo automaticamente visualizações, medidas DAX e resumos narrativos. O Tableau Agent (antigo Einstein Copilot), por sua vez, foca em monitoramento proativo de métricas por meio do recurso Tableau Pulse, que não substitui o dashboard tradicional, mas consome um dashboard já existente para destacar anomalias e enviar resumos automáticos aos usuários.</w:t>
      </w:r>
    </w:p>
    <w:p>
      <w:pPr>
        <w:spacing w:after="130" w:line="290"/>
        <w:jc w:val="both"/>
      </w:pPr>
      <w:r>
        <w:rPr>
          <w:rFonts w:ascii="Calibri" w:cs="Calibri" w:eastAsia="Calibri" w:hAnsi="Calibri"/>
          <w:color w:val="16213B"/>
          <w:sz w:val="21"/>
          <w:szCs w:val="21"/>
        </w:rPr>
        <w:t xml:space="preserve">A limitação central dessas ferramentas, do ponto de vista deste trabalho, é a dependência de um modelo semântico previamente construído: a qualidade da geração por IA no Power BI "depende fortemente do modelo semântico", ou seja, de tabelas, colunas e medidas já bem descritas, o que normalmente é trabalho prévio da equipe de TI ou de um analista de dados especializado. Além disso, o acesso a essas funcionalidades de IA tem custo de licenciamento elevado: o Copilot exige licença Premium Per User (a partir de vinte dólares por usuário/mês) ou capacidade Fabric dedicada, com preços que ultrapassam cinco mil dólares mensais nos planos corporativos.</w:t>
      </w:r>
    </w:p>
    <w:p>
      <w:pPr>
        <w:spacing w:after="130" w:line="290"/>
        <w:jc w:val="both"/>
      </w:pPr>
      <w:r>
        <w:rPr>
          <w:rFonts w:ascii="Calibri" w:cs="Calibri" w:eastAsia="Calibri" w:hAnsi="Calibri"/>
          <w:color w:val="16213B"/>
          <w:sz w:val="21"/>
          <w:szCs w:val="21"/>
        </w:rPr>
        <w:t xml:space="preserve">Ou seja, essas ferramentas resolvem bem o problema de gerar visualizações automaticamente, mas pressupõem exatamente a etapa que este trabalho busca eliminar: a existência prévia de uma base de dados já modelada e disponibilizada por TI.</w:t>
      </w:r>
    </w:p>
    <w:p>
      <w:pPr>
        <w:pStyle w:val="Heading1"/>
        <w:pBdr>
          <w:bottom w:val="single" w:color="2F6F5E" w:sz="6" w:space="4"/>
        </w:pBdr>
        <w:spacing w:after="160" w:before="380"/>
      </w:pPr>
      <w:r>
        <w:rPr>
          <w:rFonts w:ascii="Calibri" w:cs="Calibri" w:eastAsia="Calibri" w:hAnsi="Calibri"/>
          <w:b/>
          <w:bCs/>
          <w:color w:val="1F4B3F"/>
          <w:sz w:val="28"/>
          <w:szCs w:val="28"/>
        </w:rPr>
        <w:t xml:space="preserve">2. Ferramentas de "conversar com os dados" de propósito geral</w:t>
      </w:r>
    </w:p>
    <w:p>
      <w:pPr>
        <w:spacing w:after="130" w:line="290"/>
        <w:jc w:val="both"/>
      </w:pPr>
      <w:r>
        <w:rPr>
          <w:rFonts w:ascii="Calibri" w:cs="Calibri" w:eastAsia="Calibri" w:hAnsi="Calibri"/>
          <w:color w:val="16213B"/>
          <w:sz w:val="21"/>
          <w:szCs w:val="21"/>
        </w:rPr>
        <w:t xml:space="preserve">Ferramentas como o Julius AI, e plugins equivalentes de assistentes de propósito geral, permitem que o usuário envie uma planilha e faça perguntas em linguagem natural, recebendo gráficos, tabelas ou previsões como resposta. Comparações de mercado destacam que esse tipo de ferramenta é adequado para "indivíduos analisando arquivos", mas carece dos recursos de governança e de contexto de negócio necessários para uso em equipe, já que, segundo um comparativo de mercado, uma ferramenta genérica normalmente não sabe, por exemplo, que um código de status específico significa "ativo" dentro do domínio de dados da empresa.</w:t>
      </w:r>
    </w:p>
    <w:p>
      <w:pPr>
        <w:spacing w:after="130" w:line="290"/>
        <w:jc w:val="both"/>
      </w:pPr>
      <w:r>
        <w:rPr>
          <w:rFonts w:ascii="Calibri" w:cs="Calibri" w:eastAsia="Calibri" w:hAnsi="Calibri"/>
          <w:color w:val="16213B"/>
          <w:sz w:val="21"/>
          <w:szCs w:val="21"/>
        </w:rPr>
        <w:t xml:space="preserve">Uma diferença técnica importante em relação a este trabalho está na forma como o cálculo é executado. Ferramentas desse tipo tipicamente funcionam escrevendo e executando código (em geral Python) gerado pela própria IA a cada pergunta, um padrão também usado pelo recurso de interpretador de código de assistentes de propósito geral. Isso significa que a lógica de cálculo em si, não apenas a decisão do que calcular, é produzida pelo modelo de linguagem a cada interação, o que reintroduz exatamente o risco de erro numérico que este trabalho busca eliminar ao restringir a IA a uma escolha entre operações pré-validadas (contagem, soma, média, agrupamento), nunca à geração livre de código de cálculo.</w:t>
      </w:r>
    </w:p>
    <w:p>
      <w:pPr>
        <w:spacing w:after="130" w:line="290"/>
        <w:jc w:val="both"/>
      </w:pPr>
      <w:r>
        <w:rPr>
          <w:rFonts w:ascii="Calibri" w:cs="Calibri" w:eastAsia="Calibri" w:hAnsi="Calibri"/>
          <w:color w:val="16213B"/>
          <w:sz w:val="21"/>
          <w:szCs w:val="21"/>
        </w:rPr>
        <w:t xml:space="preserve">Além disso, essas ferramentas produzem respostas pontuais (um gráfico ou uma tabela por pergunta), e não um dashboard estruturado, navegável por páginas temáticas, como o gerado por este trabalho.</w:t>
      </w:r>
    </w:p>
    <w:p>
      <w:pPr>
        <w:pStyle w:val="Heading1"/>
        <w:pBdr>
          <w:bottom w:val="single" w:color="2F6F5E" w:sz="6" w:space="4"/>
        </w:pBdr>
        <w:spacing w:after="160" w:before="380"/>
      </w:pPr>
      <w:r>
        <w:rPr>
          <w:rFonts w:ascii="Calibri" w:cs="Calibri" w:eastAsia="Calibri" w:hAnsi="Calibri"/>
          <w:b/>
          <w:bCs/>
          <w:color w:val="1F4B3F"/>
          <w:sz w:val="28"/>
          <w:szCs w:val="28"/>
        </w:rPr>
        <w:t xml:space="preserve">3. Construtores de dashboard por IA conectados a infraestrutura de dados</w:t>
      </w:r>
    </w:p>
    <w:p>
      <w:pPr>
        <w:spacing w:after="130" w:line="290"/>
        <w:jc w:val="both"/>
      </w:pPr>
      <w:r>
        <w:rPr>
          <w:rFonts w:ascii="Calibri" w:cs="Calibri" w:eastAsia="Calibri" w:hAnsi="Calibri"/>
          <w:color w:val="16213B"/>
          <w:sz w:val="21"/>
          <w:szCs w:val="21"/>
        </w:rPr>
        <w:t xml:space="preserve">Uma categoria mais recente de ferramentas (Bruin, ThoughtSpot, Hex, Looker com Gemini, Omni, entre outras, segundo levantamento de mercado de 2026) promete gerar dashboards completos a partir de um único prompt, mas o fazem conectando-se a uma fonte de dados corporativa já existente e governada (um data warehouse), e não a partir de uma planilha solta enviada no momento. Esse tipo de ferramenta costuma exigir que a etapa de ingestão, transformação e disponibilização dos dados já tenha sido realizada previamente, tipicamente pela área de TI ou de engenharia de dados.</w:t>
      </w:r>
    </w:p>
    <w:p>
      <w:pPr>
        <w:spacing w:after="130" w:line="290"/>
        <w:jc w:val="both"/>
      </w:pPr>
      <w:r>
        <w:rPr>
          <w:rFonts w:ascii="Calibri" w:cs="Calibri" w:eastAsia="Calibri" w:hAnsi="Calibri"/>
          <w:color w:val="16213B"/>
          <w:sz w:val="21"/>
          <w:szCs w:val="21"/>
        </w:rPr>
        <w:t xml:space="preserve">Esse é precisamente o ponto de corte entre essas soluções e a proposta deste trabalho: mesmo entre as ferramentas de IA mais avançadas do mercado em geração automática de dashboard, a independência total em relação a uma infraestrutura de dados corporativa previamente construída pela área de TI continua sendo pouco explorada. É exatamente nessa lacuna que este trabalho se posiciona: interpretar uma planilha bruta, sem preparo prévio, e ainda assim produzir um dashboard estruturado e confiável.</w:t>
      </w:r>
    </w:p>
    <w:p>
      <w:pPr>
        <w:pStyle w:val="Heading1"/>
        <w:pBdr>
          <w:bottom w:val="single" w:color="2F6F5E" w:sz="6" w:space="4"/>
        </w:pBdr>
        <w:spacing w:after="160" w:before="380"/>
      </w:pPr>
      <w:r>
        <w:rPr>
          <w:rFonts w:ascii="Calibri" w:cs="Calibri" w:eastAsia="Calibri" w:hAnsi="Calibri"/>
          <w:b/>
          <w:bCs/>
          <w:color w:val="1F4B3F"/>
          <w:sz w:val="28"/>
          <w:szCs w:val="28"/>
        </w:rPr>
        <w:t xml:space="preserve">4. Comparação sintética</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3200"/>
        <w:gridCol w:w="1600"/>
        <w:gridCol w:w="1600"/>
        <w:gridCol w:w="1600"/>
        <w:gridCol w:w="1300"/>
      </w:tblGrid>
      <w:tr>
        <w:tc>
          <w:tcPr>
            <w:tcW w:type="dxa" w:w="3200"/>
            <w:shd w:fill="2F6F5E" w:val="clear"/>
            <w:tcMar>
              <w:top w:type="dxa" w:w="90"/>
              <w:left w:type="dxa" w:w="110"/>
              <w:bottom w:type="dxa" w:w="90"/>
              <w:right w:type="dxa" w:w="110"/>
            </w:tcMar>
          </w:tcPr>
          <w:p>
            <w:r>
              <w:rPr>
                <w:rFonts w:ascii="Calibri" w:cs="Calibri" w:eastAsia="Calibri" w:hAnsi="Calibri"/>
                <w:b/>
                <w:bCs/>
                <w:color w:val="FFFFFF"/>
                <w:sz w:val="17"/>
                <w:szCs w:val="17"/>
              </w:rPr>
              <w:t xml:space="preserve">Critério</w:t>
            </w:r>
          </w:p>
        </w:tc>
        <w:tc>
          <w:tcPr>
            <w:tcW w:type="dxa" w:w="1600"/>
            <w:shd w:fill="2F6F5E" w:val="clear"/>
            <w:tcMar>
              <w:top w:type="dxa" w:w="90"/>
              <w:left w:type="dxa" w:w="110"/>
              <w:bottom w:type="dxa" w:w="90"/>
              <w:right w:type="dxa" w:w="110"/>
            </w:tcMar>
          </w:tcPr>
          <w:p>
            <w:r>
              <w:rPr>
                <w:rFonts w:ascii="Calibri" w:cs="Calibri" w:eastAsia="Calibri" w:hAnsi="Calibri"/>
                <w:b/>
                <w:bCs/>
                <w:color w:val="FFFFFF"/>
                <w:sz w:val="17"/>
                <w:szCs w:val="17"/>
              </w:rPr>
              <w:t xml:space="preserve">BI + IA (Power BI Copilot, Tableau Agent)</w:t>
            </w:r>
          </w:p>
        </w:tc>
        <w:tc>
          <w:tcPr>
            <w:tcW w:type="dxa" w:w="1600"/>
            <w:shd w:fill="2F6F5E" w:val="clear"/>
            <w:tcMar>
              <w:top w:type="dxa" w:w="90"/>
              <w:left w:type="dxa" w:w="110"/>
              <w:bottom w:type="dxa" w:w="90"/>
              <w:right w:type="dxa" w:w="110"/>
            </w:tcMar>
          </w:tcPr>
          <w:p>
            <w:r>
              <w:rPr>
                <w:rFonts w:ascii="Calibri" w:cs="Calibri" w:eastAsia="Calibri" w:hAnsi="Calibri"/>
                <w:b/>
                <w:bCs/>
                <w:color w:val="FFFFFF"/>
                <w:sz w:val="17"/>
                <w:szCs w:val="17"/>
              </w:rPr>
              <w:t xml:space="preserve">Chat com dados (Julius AI, plugins)</w:t>
            </w:r>
          </w:p>
        </w:tc>
        <w:tc>
          <w:tcPr>
            <w:tcW w:type="dxa" w:w="1600"/>
            <w:shd w:fill="2F6F5E" w:val="clear"/>
            <w:tcMar>
              <w:top w:type="dxa" w:w="90"/>
              <w:left w:type="dxa" w:w="110"/>
              <w:bottom w:type="dxa" w:w="90"/>
              <w:right w:type="dxa" w:w="110"/>
            </w:tcMar>
          </w:tcPr>
          <w:p>
            <w:r>
              <w:rPr>
                <w:rFonts w:ascii="Calibri" w:cs="Calibri" w:eastAsia="Calibri" w:hAnsi="Calibri"/>
                <w:b/>
                <w:bCs/>
                <w:color w:val="FFFFFF"/>
                <w:sz w:val="17"/>
                <w:szCs w:val="17"/>
              </w:rPr>
              <w:t xml:space="preserve">AI dashboard builder (Bruin, ThoughtSpot, Hex)</w:t>
            </w:r>
          </w:p>
        </w:tc>
        <w:tc>
          <w:tcPr>
            <w:tcW w:type="dxa" w:w="1300"/>
            <w:shd w:fill="2F6F5E" w:val="clear"/>
            <w:tcMar>
              <w:top w:type="dxa" w:w="90"/>
              <w:left w:type="dxa" w:w="110"/>
              <w:bottom w:type="dxa" w:w="90"/>
              <w:right w:type="dxa" w:w="110"/>
            </w:tcMar>
          </w:tcPr>
          <w:p>
            <w:r>
              <w:rPr>
                <w:rFonts w:ascii="Calibri" w:cs="Calibri" w:eastAsia="Calibri" w:hAnsi="Calibri"/>
                <w:b/>
                <w:bCs/>
                <w:color w:val="FFFFFF"/>
                <w:sz w:val="17"/>
                <w:szCs w:val="17"/>
              </w:rPr>
              <w:t xml:space="preserve">Este trabalho</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Requer infraestrutura de dados pronta (warehouse/modelo semântico)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 essencial</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 (varia)</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 essencial</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Não</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Funciona a partir de planilha bruta enviada pelo usuário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 diretamente</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Sim</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Gera dashboard navegável (múltiplas páginas), não só respostas avulsas</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 tipicamente</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Sim</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Cálculo executado por código determinístico fixo (não gerado livremente pela IA)</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Parcial</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 a IA escreve/roda código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Parcial</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Sim, sempre</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Custo de licenciamento típico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Alto (licença corporativa)</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Baixo a médio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Alto (infra. de dados)</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Baixo (uso pessoal de IA)</w:t>
            </w:r>
          </w:p>
        </w:tc>
      </w:tr>
      <w:tr>
        <w:tc>
          <w:tcPr>
            <w:tcW w:type="dxa" w:w="3200"/>
            <w:tcMar>
              <w:top w:type="dxa" w:w="80"/>
              <w:left w:type="dxa" w:w="110"/>
              <w:bottom w:type="dxa" w:w="80"/>
              <w:right w:type="dxa" w:w="110"/>
            </w:tcMar>
          </w:tcPr>
          <w:p>
            <w:r>
              <w:rPr>
                <w:rFonts w:ascii="Calibri" w:cs="Calibri" w:eastAsia="Calibri" w:hAnsi="Calibri"/>
                <w:color w:val="16213B"/>
                <w:sz w:val="17"/>
                <w:szCs w:val="17"/>
              </w:rPr>
              <w:t xml:space="preserve">Exige TI para configurar antes do uso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Não</w:t>
            </w:r>
          </w:p>
        </w:tc>
        <w:tc>
          <w:tcPr>
            <w:tcW w:type="dxa" w:w="1600"/>
            <w:tcMar>
              <w:top w:type="dxa" w:w="80"/>
              <w:left w:type="dxa" w:w="110"/>
              <w:bottom w:type="dxa" w:w="80"/>
              <w:right w:type="dxa" w:w="110"/>
            </w:tcMar>
          </w:tcPr>
          <w:p>
            <w:r>
              <w:rPr>
                <w:rFonts w:ascii="Calibri" w:cs="Calibri" w:eastAsia="Calibri" w:hAnsi="Calibri"/>
                <w:color w:val="16213B"/>
                <w:sz w:val="17"/>
                <w:szCs w:val="17"/>
              </w:rPr>
              <w:t xml:space="preserve">Sim</w:t>
            </w:r>
          </w:p>
        </w:tc>
        <w:tc>
          <w:tcPr>
            <w:tcW w:type="dxa" w:w="1300"/>
            <w:tcMar>
              <w:top w:type="dxa" w:w="80"/>
              <w:left w:type="dxa" w:w="110"/>
              <w:bottom w:type="dxa" w:w="80"/>
              <w:right w:type="dxa" w:w="110"/>
            </w:tcMar>
          </w:tcPr>
          <w:p>
            <w:r>
              <w:rPr>
                <w:rFonts w:ascii="Calibri" w:cs="Calibri" w:eastAsia="Calibri" w:hAnsi="Calibri"/>
                <w:color w:val="16213B"/>
                <w:sz w:val="17"/>
                <w:szCs w:val="17"/>
              </w:rPr>
              <w:t xml:space="preserve">Não</w:t>
            </w:r>
          </w:p>
        </w:tc>
      </w:tr>
    </w:tbl>
    <w:p>
      <w:pPr>
        <w:spacing w:after="180"/>
      </w:pPr>
    </w:p>
    <w:p>
      <w:pPr>
        <w:pStyle w:val="Heading1"/>
        <w:pBdr>
          <w:bottom w:val="single" w:color="2F6F5E" w:sz="6" w:space="4"/>
        </w:pBdr>
        <w:spacing w:after="160" w:before="380"/>
      </w:pPr>
      <w:r>
        <w:rPr>
          <w:rFonts w:ascii="Calibri" w:cs="Calibri" w:eastAsia="Calibri" w:hAnsi="Calibri"/>
          <w:b/>
          <w:bCs/>
          <w:color w:val="1F4B3F"/>
          <w:sz w:val="28"/>
          <w:szCs w:val="28"/>
        </w:rPr>
        <w:t xml:space="preserve">5. Posicionamento deste trabalho</w:t>
      </w:r>
    </w:p>
    <w:p>
      <w:pPr>
        <w:spacing w:after="130" w:line="290"/>
        <w:jc w:val="both"/>
      </w:pPr>
      <w:r>
        <w:rPr>
          <w:rFonts w:ascii="Calibri" w:cs="Calibri" w:eastAsia="Calibri" w:hAnsi="Calibri"/>
          <w:color w:val="16213B"/>
          <w:sz w:val="21"/>
          <w:szCs w:val="21"/>
        </w:rPr>
        <w:t xml:space="preserve">A revisão das três categorias de ferramentas evidencia um espaço ainda pouco ocupado: soluções que (a) não exigem infraestrutura de dados corporativa previamente preparada por TI, (b) produzem um dashboard estruturado e navegável, e não apenas respostas pontuais, e (c) mantêm o cálculo numérico fora do alcance direto da geração livre da IA, delegando-o a um mecanismo determinístico e validável.</w:t>
      </w:r>
    </w:p>
    <w:p>
      <w:pPr>
        <w:spacing w:after="130" w:line="290"/>
        <w:jc w:val="both"/>
      </w:pPr>
      <w:r>
        <w:rPr>
          <w:rFonts w:ascii="Calibri" w:cs="Calibri" w:eastAsia="Calibri" w:hAnsi="Calibri"/>
          <w:color w:val="16213B"/>
          <w:sz w:val="21"/>
          <w:szCs w:val="21"/>
        </w:rPr>
        <w:t xml:space="preserve">Nenhuma das ferramentas analisadas combina essas três características simultaneamente: as soluções de BI corporativo com IA (categoria 1) atendem (b) e parcialmente (c), mas falham em (a); as ferramentas de conversa com dados (categoria 2) atendem (a), mas falham em (b) e (c); os construtores de dashboard por IA conectados a warehouse (categoria 3) atendem (b), mas falham em (a). Este trabalho foi desenhado precisamente para atender às três condições ao mesmo tempo, o que constitui sua contribuição diferenciada em relação ao estado da arte de mercado identificado nesta revisão.</w:t>
      </w:r>
    </w:p>
    <w:p>
      <w:pPr>
        <w:spacing w:after="130" w:line="290"/>
        <w:jc w:val="both"/>
      </w:pPr>
      <w:r>
        <w:rPr>
          <w:rFonts w:ascii="Calibri" w:cs="Calibri" w:eastAsia="Calibri" w:hAnsi="Calibri"/>
          <w:color w:val="16213B"/>
          <w:sz w:val="21"/>
          <w:szCs w:val="21"/>
        </w:rPr>
        <w:t xml:space="preserve">Vale registrar uma ressalva metodológica: esta comparação foi construída a partir de material publicado pelos próprios fornecedores e por veículos especializados em análise de mercado, não de testes práticos diretos com essas ferramentas comerciais (o que exigiria acesso pago a cada uma delas). Trata-se, portanto, de uma comparação de características documentadas publicamente, e não de um benchmark experimental controlado.</w:t>
      </w:r>
    </w:p>
    <w:p>
      <w:pPr>
        <w:pStyle w:val="Heading1"/>
        <w:pBdr>
          <w:bottom w:val="single" w:color="2F6F5E" w:sz="6" w:space="4"/>
        </w:pBdr>
        <w:spacing w:after="160" w:before="380"/>
      </w:pPr>
      <w:r>
        <w:rPr>
          <w:rFonts w:ascii="Calibri" w:cs="Calibri" w:eastAsia="Calibri" w:hAnsi="Calibri"/>
          <w:b/>
          <w:bCs/>
          <w:color w:val="1F4B3F"/>
          <w:sz w:val="28"/>
          <w:szCs w:val="28"/>
        </w:rPr>
        <w:t xml:space="preserve">Referências</w:t>
      </w:r>
    </w:p>
    <w:p>
      <w:pPr>
        <w:spacing w:after="110" w:line="260"/>
        <w:ind w:left="360" w:hanging="360"/>
      </w:pPr>
      <w:r>
        <w:rPr>
          <w:rFonts w:ascii="Calibri" w:cs="Calibri" w:eastAsia="Calibri" w:hAnsi="Calibri"/>
          <w:color w:val="16213B"/>
          <w:sz w:val="19"/>
          <w:szCs w:val="19"/>
        </w:rPr>
        <w:t xml:space="preserve">EPC GROUP. Power BI Copilot &amp; AI Analytics Guide 2026. Disponível em: https://www.epcgroup.net/blog/power-bi-copilot-ai-analytics-guide</w:t>
      </w:r>
    </w:p>
    <w:p>
      <w:pPr>
        <w:spacing w:after="110" w:line="260"/>
        <w:ind w:left="360" w:hanging="360"/>
      </w:pPr>
      <w:r>
        <w:rPr>
          <w:rFonts w:ascii="Calibri" w:cs="Calibri" w:eastAsia="Calibri" w:hAnsi="Calibri"/>
          <w:color w:val="16213B"/>
          <w:sz w:val="19"/>
          <w:szCs w:val="19"/>
        </w:rPr>
        <w:t xml:space="preserve">SHARPSKILL. Power BI vs Tableau 2026: Pricing, AI, Features Compared. Disponível em: https://sharpskill.dev/en/blog/data-analytics/power-bi-vs-tableau-2026</w:t>
      </w:r>
    </w:p>
    <w:p>
      <w:pPr>
        <w:spacing w:after="110" w:line="260"/>
        <w:ind w:left="360" w:hanging="360"/>
      </w:pPr>
      <w:r>
        <w:rPr>
          <w:rFonts w:ascii="Calibri" w:cs="Calibri" w:eastAsia="Calibri" w:hAnsi="Calibri"/>
          <w:color w:val="16213B"/>
          <w:sz w:val="19"/>
          <w:szCs w:val="19"/>
        </w:rPr>
        <w:t xml:space="preserve">THINKLYTICS. Tableau Pulse vs Power BI Copilot 2026. Disponível em: https://thinklytics.com/insights/tableau-pulse-vs-power-bi-copilot-2026</w:t>
      </w:r>
    </w:p>
    <w:p>
      <w:pPr>
        <w:spacing w:after="110" w:line="260"/>
        <w:ind w:left="360" w:hanging="360"/>
      </w:pPr>
      <w:r>
        <w:rPr>
          <w:rFonts w:ascii="Calibri" w:cs="Calibri" w:eastAsia="Calibri" w:hAnsi="Calibri"/>
          <w:color w:val="16213B"/>
          <w:sz w:val="19"/>
          <w:szCs w:val="19"/>
        </w:rPr>
        <w:t xml:space="preserve">POWERBICONSULTING.COM. Power BI Copilot Guide 2026: Every AI Feature Explained. Disponível em: https://powerbiconsulting.com/blog/power-bi-copilot-complete-guide-2026</w:t>
      </w:r>
    </w:p>
    <w:p>
      <w:pPr>
        <w:spacing w:after="110" w:line="260"/>
        <w:ind w:left="360" w:hanging="360"/>
      </w:pPr>
      <w:r>
        <w:rPr>
          <w:rFonts w:ascii="Calibri" w:cs="Calibri" w:eastAsia="Calibri" w:hAnsi="Calibri"/>
          <w:color w:val="16213B"/>
          <w:sz w:val="19"/>
          <w:szCs w:val="19"/>
        </w:rPr>
        <w:t xml:space="preserve">BRUIN. The 9 Best AI Dashboard Tools and Builders in 2026. Disponível em: https://getbruin.com/blog/best-ai-dashboard-tools-2026/</w:t>
      </w:r>
    </w:p>
    <w:p>
      <w:pPr>
        <w:spacing w:after="110" w:line="260"/>
        <w:ind w:left="360" w:hanging="360"/>
      </w:pPr>
      <w:r>
        <w:rPr>
          <w:rFonts w:ascii="Calibri" w:cs="Calibri" w:eastAsia="Calibri" w:hAnsi="Calibri"/>
          <w:color w:val="16213B"/>
          <w:sz w:val="19"/>
          <w:szCs w:val="19"/>
        </w:rPr>
        <w:t xml:space="preserve">BEYOND THE ANALYTICS. Power BI Copilot vs Tableau AI vs Qlik AutoML: Enterprise Comparison. Disponível em: https://beyondtheanalytics.com/blog/power-bi-copilot-vs-tableau-ai-vs-qlik-automl-2026</w:t>
      </w:r>
    </w:p>
    <w:p>
      <w:pPr>
        <w:spacing w:after="110" w:line="260"/>
        <w:ind w:left="360" w:hanging="360"/>
      </w:pPr>
      <w:r>
        <w:rPr>
          <w:rFonts w:ascii="Calibri" w:cs="Calibri" w:eastAsia="Calibri" w:hAnsi="Calibri"/>
          <w:color w:val="16213B"/>
          <w:sz w:val="19"/>
          <w:szCs w:val="19"/>
        </w:rPr>
        <w:t xml:space="preserve">MEDIUM (Nachiket Mehendale). Can You Chat With Your Data in Plain English? A Look at Julius AI. Disponível em: https://medium.com/data-and-beyond/can-you-chat-with-your-data-in-plain-english-a-look-at-julius-ai-392ea88e5677</w:t>
      </w:r>
    </w:p>
    <w:p>
      <w:pPr>
        <w:spacing w:after="110" w:line="260"/>
        <w:ind w:left="360" w:hanging="360"/>
      </w:pPr>
      <w:r>
        <w:rPr>
          <w:rFonts w:ascii="Calibri" w:cs="Calibri" w:eastAsia="Calibri" w:hAnsi="Calibri"/>
          <w:color w:val="16213B"/>
          <w:sz w:val="19"/>
          <w:szCs w:val="19"/>
        </w:rPr>
        <w:t xml:space="preserve">VERBAGPT. VerbaGPT vs Julius AI: A Team-Ready Alternative for Database Analysis. Disponível em: https://verbagpt.com/compare/julius-ai-alternative.html</w:t>
      </w:r>
    </w:p>
    <w:p>
      <w:pPr>
        <w:spacing w:after="110" w:line="260"/>
        <w:ind w:left="360" w:hanging="360"/>
      </w:pPr>
      <w:r>
        <w:rPr>
          <w:rFonts w:ascii="Calibri" w:cs="Calibri" w:eastAsia="Calibri" w:hAnsi="Calibri"/>
          <w:color w:val="16213B"/>
          <w:sz w:val="19"/>
          <w:szCs w:val="19"/>
        </w:rPr>
        <w:t xml:space="preserve">PANGAEAX. How AI Is Changing Power BI, Tableau and Databricks. Disponível em: https://www.pangaeax.com/blogs/how-ai-is-changing-bi-tools-power-bi-tableau-bigquery-databricks/</w:t>
      </w:r>
    </w:p>
    <w:p>
      <w:pPr>
        <w:spacing w:after="200"/>
      </w:pPr>
    </w:p>
    <w:p>
      <w:pPr>
        <w:spacing w:after="130" w:line="290"/>
        <w:jc w:val="both"/>
      </w:pPr>
      <w:r>
        <w:rPr>
          <w:rFonts w:ascii="Calibri" w:cs="Calibri" w:eastAsia="Calibri" w:hAnsi="Calibri"/>
          <w:color w:val="16213B"/>
          <w:sz w:val="21"/>
          <w:szCs w:val="21"/>
        </w:rPr>
        <w:t xml:space="preserve">Nota: assim como no referencial teórico, estas referências foram localizadas por busca em 27/08/2026, e devem ser conferidas e formatadas conforme a norma bibliográfica exigida pela instituição antes da entrega final. Por se tratar de fontes majoritariamente de blogs especializados e materiais de fornecedores (não artigos revisados por pares), recomenda-se que o orientador avalie a adequação dessas fontes aos critérios de rigor acadêmico exigidos pelo trabalho, complementando-as com literatura científica formal sobre BI e IA sempre que possível.</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2026-08-27T23:37:01.213Z</dcterms:created>
  <dcterms:modified xsi:type="dcterms:W3CDTF">2026-08-27T23:37:01.226Z</dcterms:modified>
</cp:coreProperties>
</file>

<file path=docProps/custom.xml><?xml version="1.0" encoding="utf-8"?>
<Properties xmlns="http://schemas.openxmlformats.org/officeDocument/2006/custom-properties" xmlns:vt="http://schemas.openxmlformats.org/officeDocument/2006/docPropsVTypes"/>
</file>