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goal of this experiment is to determine which of two plate flooding media (used to resuspend cells growing on an agarose plate) and which of two timing options results in the fewest gene expression changes in WT BY4741 cells.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basic procedure is to grow cells on agarose plates with synthetic complete medium plus 2% galactose (SCGal), resuspend cells by flooding the plates with a liquid and resuspending with a loop, add an estradiol dissolved in ethanol or just the ethanol (mock inducer), and take samples for RNA-Seq just before and at time points after the inducer or mock inducer has been added.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fields needed to differentiate all the samples 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floodMedia </w:t>
      </w:r>
      <w:r w:rsidDel="00000000" w:rsidR="00000000" w:rsidRPr="00000000">
        <w:rPr>
          <w:rtl w:val="0"/>
        </w:rPr>
        <w:t xml:space="preserve">-- the fluid used to resuspend cells growing on plates. One of:</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PBS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SCGal</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inductionDelay</w:t>
      </w:r>
      <w:r w:rsidDel="00000000" w:rsidR="00000000" w:rsidRPr="00000000">
        <w:rPr>
          <w:rtl w:val="0"/>
        </w:rPr>
        <w:t xml:space="preserve"> -- the time between resuspension of cells and addition of inducer or mock inducer.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1 -- inducer or mock inducer added 1 minute after cells are resuspended</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15 -- inducer or mock inducer added 15 minutes after cells are resuspended</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b w:val="1"/>
          <w:rtl w:val="0"/>
        </w:rPr>
        <w:t xml:space="preserve">treatment</w:t>
      </w:r>
      <w:r w:rsidDel="00000000" w:rsidR="00000000" w:rsidRPr="00000000">
        <w:rPr>
          <w:rtl w:val="0"/>
        </w:rPr>
        <w:t xml:space="preserve"> -- the inducer or mock inducer added. One of:</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Estradiol -- the ZEV inducer, dissolved in ethanol</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EtOH -- ethanol only, equal volume to the true induction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timePoint</w:t>
      </w:r>
      <w:r w:rsidDel="00000000" w:rsidR="00000000" w:rsidRPr="00000000">
        <w:rPr>
          <w:rtl w:val="0"/>
        </w:rPr>
        <w:t xml:space="preserve"> -- the time between addition of the inducer or mock inducer and cell harvesting. One of:</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-1 -- cells harvested 1 minute before addition of inducer or mock inducer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15 -- cells harvested 15 minutes after addition of inducer or mock inducer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Details of the experiment </w:t>
      </w:r>
      <w:r w:rsidDel="00000000" w:rsidR="00000000" w:rsidRPr="00000000">
        <w:rPr>
          <w:b w:val="1"/>
          <w:rtl w:val="0"/>
        </w:rPr>
        <w:t xml:space="preserve">design</w:t>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