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Arial" w:hAnsi="Arial"/>
          <w:b/>
          <w:color w:val="1F4E79"/>
          <w:sz w:val="60"/>
        </w:rPr>
        <w:t>CymBuild</w:t>
      </w:r>
    </w:p>
    <w:p>
      <w:pPr>
        <w:jc w:val="center"/>
      </w:pPr>
      <w:r>
        <w:rPr>
          <w:rFonts w:ascii="Arial" w:hAnsi="Arial"/>
          <w:b/>
          <w:color w:val="2F75B5"/>
          <w:sz w:val="44"/>
        </w:rPr>
        <w:t>Final Proposed CI/CD and Kubernetes Delivery Plan</w:t>
      </w:r>
    </w:p>
    <w:p>
      <w:pPr>
        <w:jc w:val="center"/>
      </w:pPr>
      <w:r>
        <w:rPr>
          <w:rFonts w:ascii="Arial" w:hAnsi="Arial"/>
          <w:color w:val="404040"/>
          <w:sz w:val="24"/>
        </w:rPr>
        <w:t>Including confirmed decisions, provisional decisions, delivery phases, acceptance gates and open unknowns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D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sz w:val="20"/>
              </w:rPr>
              <w:t xml:space="preserve">Document status: </w:t>
            </w:r>
            <w:r>
              <w:rPr>
                <w:rFonts w:ascii="Arial" w:hAnsi="Arial"/>
                <w:sz w:val="20"/>
              </w:rPr>
              <w:t>Proposed final plan as of 6 August 2026. It is executable once the decision register is closed. Unknowns are explicitly retained and are not silently assumed.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76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128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Programme</w:t>
            </w:r>
          </w:p>
        </w:tc>
        <w:tc>
          <w:tcPr>
            <w:tcW w:type="dxa" w:w="71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CymBuild containerisation and CI/CD implementation</w:t>
            </w:r>
          </w:p>
        </w:tc>
      </w:tr>
      <w:tr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Architecture</w:t>
            </w:r>
          </w:p>
        </w:tc>
        <w:tc>
          <w:tcPr>
            <w:tcW w:type="dxa" w:w="71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Blazor PWA -&gt; FormHelper/API Client -&gt; gRPC API -&gt; EF -&gt; SQL Server</w:t>
            </w:r>
          </w:p>
        </w:tc>
      </w:tr>
      <w:tr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Logical environments</w:t>
            </w:r>
          </w:p>
        </w:tc>
        <w:tc>
          <w:tcPr>
            <w:tcW w:type="dxa" w:w="71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DEV -&gt; QA -&gt; UAT -&gt; LIVE</w:t>
            </w:r>
          </w:p>
        </w:tc>
      </w:tr>
      <w:tr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Physical mapping</w:t>
            </w:r>
          </w:p>
        </w:tc>
        <w:tc>
          <w:tcPr>
            <w:tcW w:type="dxa" w:w="71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Local workstation -&gt; shared platform DEV -&gt; UAT -&gt; LIVE</w:t>
            </w:r>
          </w:p>
        </w:tc>
      </w:tr>
      <w:tr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Delivery platform</w:t>
            </w:r>
          </w:p>
        </w:tc>
        <w:tc>
          <w:tcPr>
            <w:tcW w:type="dxa" w:w="71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Bitbucket Pipelines, private registry, Rancher-managed RKE2</w:t>
            </w:r>
          </w:p>
        </w:tc>
      </w:tr>
      <w:tr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Local development standard</w:t>
            </w:r>
          </w:p>
        </w:tc>
        <w:tc>
          <w:tcPr>
            <w:tcW w:type="dxa" w:w="71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Podman for image build/run; Hyper-V Minikube with containerd for Kubernetes validation</w:t>
            </w:r>
          </w:p>
        </w:tc>
      </w:tr>
      <w:tr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Prepared for</w:t>
            </w:r>
          </w:p>
        </w:tc>
        <w:tc>
          <w:tcPr>
            <w:tcW w:type="dxa" w:w="71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SOCOTEC Development, DevOps, Data Engineering, Platform Operations and release approvers</w:t>
            </w:r>
          </w:p>
        </w:tc>
      </w:tr>
    </w:tbl>
    <w:p>
      <w:pPr>
        <w:spacing w:after="20"/>
      </w:pPr>
    </w:p>
    <w:p>
      <w:pPr>
        <w:pStyle w:val="Small"/>
        <w:jc w:val="center"/>
      </w:pPr>
      <w:r>
        <w:t>Prepared from the current CymBuild project baseline, repository analysis, confirmed SOCOTEC platform information and the Kubernetes/DevOps workshop transcripts dated 5-6 August 2026.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ExecutiveSummary"/>
      </w:pPr>
      <w:r>
        <w:t>CymBuild should move to a build-once, promote-the-same-immutable-artifacts delivery model. Application images, database schema changes and run-based metadata changes must be treated as one governed release, with deterministic validation, environment-specific configuration, approval gates and auditable outcomes.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sz w:val="20"/>
              </w:rPr>
              <w:t xml:space="preserve">Primary recommendation: </w:t>
            </w:r>
            <w:r>
              <w:rPr>
                <w:rFonts w:ascii="Arial" w:hAnsi="Arial"/>
                <w:sz w:val="20"/>
              </w:rPr>
              <w:t>Containerise the PWA, gRPC API and independently scalable workers; deploy them declaratively to RKE2; run schema and metadata deployment as controlled pipeline Jobs before application rollout; publish integration events through the existing outbox and controlled microservices; and prohibit manual production database or metadata promotion.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b/>
        </w:rPr>
        <w:t xml:space="preserve">Build once. </w:t>
      </w:r>
      <w:r>
        <w:t>Compile, test, scan and build each image once. Promote the same image digest from QA to UAT to LIVE; never rebuild per environment and never use latest.</w:t>
      </w:r>
    </w:p>
    <w:p>
      <w:pPr>
        <w:pStyle w:val="ListBullet"/>
        <w:spacing w:after="40"/>
      </w:pPr>
      <w:r>
        <w:rPr>
          <w:b/>
        </w:rPr>
        <w:t xml:space="preserve">Database first, but not at application startup. </w:t>
      </w:r>
      <w:r>
        <w:t>Apply idempotent source-controlled schema and metadata processes as pipeline stages or Kubernetes Jobs before rolling out dependent services.</w:t>
      </w:r>
    </w:p>
    <w:p>
      <w:pPr>
        <w:pStyle w:val="ListBullet"/>
        <w:spacing w:after="40"/>
      </w:pPr>
      <w:r>
        <w:rPr>
          <w:b/>
        </w:rPr>
        <w:t xml:space="preserve">Stateless by default. </w:t>
      </w:r>
      <w:r>
        <w:t>Do not give application Pods persistent volumes for convenience. Use SQL Server or an approved external store for durable application state; reserve Longhorn or external shares for workloads that genuinely require persistence.</w:t>
      </w:r>
    </w:p>
    <w:p>
      <w:pPr>
        <w:pStyle w:val="ListBullet"/>
        <w:spacing w:after="40"/>
      </w:pPr>
      <w:r>
        <w:rPr>
          <w:b/>
        </w:rPr>
        <w:t xml:space="preserve">Least privilege. </w:t>
      </w:r>
      <w:r>
        <w:t>Use namespace-scoped ServiceAccounts and pipeline credentials, controlled image pull credentials, externalised Secrets, NetworkPolicies and environment-specific access boundaries.</w:t>
      </w:r>
    </w:p>
    <w:p>
      <w:pPr>
        <w:pStyle w:val="ListBullet"/>
        <w:spacing w:after="40"/>
      </w:pPr>
      <w:r>
        <w:rPr>
          <w:b/>
        </w:rPr>
        <w:t xml:space="preserve">Observable by design. </w:t>
      </w:r>
      <w:r>
        <w:t>Publish platform and application metrics, structured logs and traces into the established Prometheus/Grafana/Alertmanager/Loki/OpenTelemetry landscape, with clear ownership of alerts.</w:t>
      </w:r>
    </w:p>
    <w:p>
      <w:pPr>
        <w:pStyle w:val="ListBullet"/>
        <w:spacing w:after="40"/>
      </w:pPr>
      <w:r>
        <w:rPr>
          <w:b/>
        </w:rPr>
        <w:t xml:space="preserve">Troubleshoot by tracing the full path. </w:t>
      </w:r>
      <w:r>
        <w:t>Adopt Detect -&gt; Triage -&gt; Trace -&gt; Recover -&gt; Learn and validate each dependency: image, configuration, Pod readiness, Service selector, EndpointSlice, Ingress, external load balancer/DNS, database, workflow, outbox and integrations.</w:t>
      </w:r>
    </w:p>
    <w:p>
      <w:pPr>
        <w:pStyle w:val="Heading2"/>
      </w:pPr>
      <w:r>
        <w:t>Outcome of this plan</w:t>
      </w:r>
    </w:p>
    <w:p>
      <w:r>
        <w:t>The plan does not pretend that every infrastructure choice has already been confirmed. It separates confirmed requirements from provisional implementation choices and contains a decision register. Work may begin immediately on source hygiene, project classification, test hardening and container build prototypes, while environment-specific deployment work is gated by closure of the relevant unknowns.</w:t>
      </w:r>
    </w:p>
    <w:p>
      <w:pPr>
        <w:pStyle w:val="Heading1"/>
      </w:pPr>
      <w:r>
        <w:t>1. Confirmed baseline and non-negotiable constraints</w:t>
      </w:r>
    </w:p>
    <w:p>
      <w:pPr>
        <w:pStyle w:val="Heading2"/>
      </w:pPr>
      <w:r>
        <w:t>1.1 CymBuild architectural boundary</w:t>
      </w:r>
    </w:p>
    <w:p>
      <w:pPr>
        <w:pStyle w:val="ListBullet"/>
        <w:spacing w:after="40"/>
      </w:pPr>
      <w:r>
        <w:t>Blazor PWA (Concursus_PWA) calls API_Client/FormHelper; it must not call SQL, external services or arbitrary APIs directly.</w:t>
      </w:r>
    </w:p>
    <w:p>
      <w:pPr>
        <w:pStyle w:val="ListBullet"/>
        <w:spacing w:after="40"/>
      </w:pPr>
      <w:r>
        <w:t>FormHelper/API Client calls the gRPC API (Concursus_API).</w:t>
      </w:r>
    </w:p>
    <w:p>
      <w:pPr>
        <w:pStyle w:val="ListBullet"/>
        <w:spacing w:after="40"/>
      </w:pPr>
      <w:r>
        <w:t>The gRPC API coordinates business behaviour and calls EF/repository components.</w:t>
      </w:r>
    </w:p>
    <w:p>
      <w:pPr>
        <w:pStyle w:val="ListBullet"/>
        <w:spacing w:after="40"/>
      </w:pPr>
      <w:r>
        <w:t>EF persists to SQL Server.</w:t>
      </w:r>
    </w:p>
    <w:p>
      <w:pPr>
        <w:pStyle w:val="ListBullet"/>
        <w:spacing w:after="40"/>
      </w:pPr>
      <w:r>
        <w:t>Business logic must not be placed in Razor/UI components.</w:t>
      </w:r>
    </w:p>
    <w:p>
      <w:pPr>
        <w:pStyle w:val="ListBullet"/>
        <w:spacing w:after="40"/>
      </w:pPr>
      <w:r>
        <w:t>Existing architectural bypasses identified in prior source analysis must be classified and corrected without behaviour loss.</w:t>
      </w:r>
    </w:p>
    <w:p>
      <w:pPr>
        <w:pStyle w:val="Heading2"/>
      </w:pPr>
      <w:r>
        <w:t>1.2 Identity, workflow and event invariants</w:t>
      </w:r>
    </w:p>
    <w:p>
      <w:pPr>
        <w:pStyle w:val="ListBullet"/>
        <w:spacing w:after="40"/>
      </w:pPr>
      <w:r>
        <w:t>Every major entity insert must atomically create the matching SCore.DataObjects row with its Guid, EntityTypeId, RowStatus and concurrency values.</w:t>
      </w:r>
    </w:p>
    <w:p>
      <w:pPr>
        <w:pStyle w:val="ListBullet"/>
        <w:spacing w:after="40"/>
      </w:pPr>
      <w:r>
        <w:t>Insert-then-update identity patterns are prohibited.</w:t>
      </w:r>
    </w:p>
    <w:p>
      <w:pPr>
        <w:pStyle w:val="ListBullet"/>
        <w:spacing w:after="40"/>
      </w:pPr>
      <w:r>
        <w:t>Business status must never be updated directly. Use SCore.DataObjectTransitionUpsert; the latest transition is the current state.</w:t>
      </w:r>
    </w:p>
    <w:p>
      <w:pPr>
        <w:pStyle w:val="ListBullet"/>
        <w:spacing w:after="40"/>
      </w:pPr>
      <w:r>
        <w:t>All integration events must be written through SCore.IntegrationOutbox and published by controlled workers.</w:t>
      </w:r>
    </w:p>
    <w:p>
      <w:pPr>
        <w:pStyle w:val="ListBullet"/>
        <w:spacing w:after="40"/>
      </w:pPr>
      <w:r>
        <w:t>CymBuild must never call Sage directly; Sage communication remains behind the controlled Sage microservice/service layer.</w:t>
      </w:r>
    </w:p>
    <w:p>
      <w:pPr>
        <w:pStyle w:val="ListBullet"/>
        <w:spacing w:after="40"/>
      </w:pPr>
      <w:r>
        <w:t>Automation, including invoice automation, must be idempotent, retry-safe and auditable.</w:t>
      </w:r>
    </w:p>
    <w:p>
      <w:pPr>
        <w:pStyle w:val="Heading2"/>
      </w:pPr>
      <w:r>
        <w:t>1.3 Code-first deployment authority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00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3384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Authoritative source</w:t>
            </w:r>
          </w:p>
        </w:tc>
        <w:tc>
          <w:tcPr>
            <w:tcW w:type="dxa" w:w="4320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Deployment rule</w:t>
            </w:r>
          </w:p>
        </w:tc>
      </w:tr>
      <w:tr>
        <w:tc>
          <w:tcPr>
            <w:tcW w:type="dxa" w:w="18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Database schema</w:t>
            </w:r>
          </w:p>
        </w:tc>
        <w:tc>
          <w:tcPr>
            <w:tcW w:type="dxa" w:w="33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Source-controlled idempotent SQL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Database is a deployment target only; no manual promotion or direct production fixes.</w:t>
            </w:r>
          </w:p>
        </w:tc>
      </w:tr>
      <w:tr>
        <w:tc>
          <w:tcPr>
            <w:tcW w:type="dxa" w:w="18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Metadata</w:t>
            </w:r>
          </w:p>
        </w:tc>
        <w:tc>
          <w:tcPr>
            <w:tcW w:type="dxa" w:w="33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Source-controlled SQL/UI run-based SMigration process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Validate, select, accept, apply and verify through the governed run lifecycle; legacy manifests are not the active deployment mechanism.</w:t>
            </w:r>
          </w:p>
        </w:tc>
      </w:tr>
      <w:tr>
        <w:tc>
          <w:tcPr>
            <w:tcW w:type="dxa" w:w="18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Application deployment</w:t>
            </w:r>
          </w:p>
        </w:tc>
        <w:tc>
          <w:tcPr>
            <w:tcW w:type="dxa" w:w="33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Source-controlled Kubernetes packaging and pipeline definitions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No durable manual kubectl/Rancher changes. Emergency changes must be backfilled into source immediately.</w:t>
            </w:r>
          </w:p>
        </w:tc>
      </w:tr>
      <w:tr>
        <w:tc>
          <w:tcPr>
            <w:tcW w:type="dxa" w:w="18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Configuration</w:t>
            </w:r>
          </w:p>
        </w:tc>
        <w:tc>
          <w:tcPr>
            <w:tcW w:type="dxa" w:w="33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Environment variables, ConfigMaps and approved secret store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No environment secrets or environment-specific values embedded in images or source.</w:t>
            </w:r>
          </w:p>
        </w:tc>
      </w:tr>
    </w:tbl>
    <w:p>
      <w:pPr>
        <w:spacing w:after="20"/>
      </w:pPr>
    </w:p>
    <w:p>
      <w:pPr>
        <w:pStyle w:val="Heading2"/>
      </w:pPr>
      <w:r>
        <w:t>1.4 SQL deployment guardrails</w:t>
      </w:r>
    </w:p>
    <w:p>
      <w:pPr>
        <w:pStyle w:val="ListBullet"/>
        <w:spacing w:after="40"/>
      </w:pPr>
      <w:r>
        <w:t>SQL Server only; schema-qualified objects; explicit column lists; no SELECT *.</w:t>
      </w:r>
    </w:p>
    <w:p>
      <w:pPr>
        <w:pStyle w:val="ListBullet"/>
        <w:spacing w:after="40"/>
      </w:pPr>
      <w:r>
        <w:t>Idempotent, deployment-safe SQL with deterministic behaviour, transactions and TRY/CATCH where appropriate.</w:t>
      </w:r>
    </w:p>
    <w:p>
      <w:pPr>
        <w:pStyle w:val="ListBullet"/>
        <w:spacing w:after="40"/>
      </w:pPr>
      <w:r>
        <w:t>Filtered indexes must use the exact predicate WHERE [RowStatus] &lt;&gt; 0 AND [RowStatus] &lt;&gt; 254.</w:t>
      </w:r>
    </w:p>
    <w:p>
      <w:pPr>
        <w:pStyle w:val="ListBullet"/>
        <w:spacing w:after="40"/>
      </w:pPr>
      <w:r>
        <w:t>Schema and metadata changes must preserve DataObjects and workflow invariants.</w:t>
      </w:r>
    </w:p>
    <w:p>
      <w:pPr>
        <w:pStyle w:val="ListBullet"/>
        <w:spacing w:after="40"/>
      </w:pPr>
      <w:r>
        <w:t>No destructive changes unless specifically requested, reviewed and approved.</w:t>
      </w:r>
    </w:p>
    <w:p>
      <w:pPr>
        <w:pStyle w:val="Heading2"/>
      </w:pPr>
      <w:r>
        <w:t>1.5 Established environment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656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CymBuild environment</w:t>
            </w:r>
          </w:p>
        </w:tc>
        <w:tc>
          <w:tcPr>
            <w:tcW w:type="dxa" w:w="2592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Physical platform</w:t>
            </w:r>
          </w:p>
        </w:tc>
        <w:tc>
          <w:tcPr>
            <w:tcW w:type="dxa" w:w="2376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Cluster / location</w:t>
            </w:r>
          </w:p>
        </w:tc>
        <w:tc>
          <w:tcPr>
            <w:tcW w:type="dxa" w:w="3240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Release behaviour</w:t>
            </w:r>
          </w:p>
        </w:tc>
      </w:tr>
      <w:tr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DEV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Stephen's local development workstation</w:t>
            </w:r>
          </w:p>
        </w:tc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Podman plus Hyper-V Minikube/containerd</w:t>
            </w:r>
          </w:p>
        </w:tc>
        <w:tc>
          <w:tcPr>
            <w:tcW w:type="dxa" w:w="32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Development, local build, diagnostics and pre-pipeline verification.</w:t>
            </w:r>
          </w:p>
        </w:tc>
      </w:tr>
      <w:tr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QA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Shared platform DEV</w:t>
            </w:r>
          </w:p>
        </w:tc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Rancher soc-rke2-c0</w:t>
            </w:r>
          </w:p>
        </w:tc>
        <w:tc>
          <w:tcPr>
            <w:tcW w:type="dxa" w:w="32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Automatic deployment after protected branch/pipeline gates, subject to final policy confirmation.</w:t>
            </w:r>
          </w:p>
        </w:tc>
      </w:tr>
      <w:tr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UAT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Shared UAT platform</w:t>
            </w:r>
          </w:p>
        </w:tc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Rancher soc-rke2-c2</w:t>
            </w:r>
          </w:p>
        </w:tc>
        <w:tc>
          <w:tcPr>
            <w:tcW w:type="dxa" w:w="32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Promotion of the same digests after manual approval and successful QA evidence.</w:t>
            </w:r>
          </w:p>
        </w:tc>
      </w:tr>
      <w:tr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LIVE</w:t>
            </w:r>
          </w:p>
        </w:tc>
        <w:tc>
          <w:tcPr>
            <w:tcW w:type="dxa" w:w="259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Shared production platform</w:t>
            </w:r>
          </w:p>
        </w:tc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Rancher soc-rke2-c1</w:t>
            </w:r>
          </w:p>
        </w:tc>
        <w:tc>
          <w:tcPr>
            <w:tcW w:type="dxa" w:w="324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Restricted approval, change controls and promotion of the same tested digests.</w:t>
            </w:r>
          </w:p>
        </w:tc>
      </w:tr>
    </w:tbl>
    <w:p>
      <w:pPr>
        <w:spacing w:after="20"/>
      </w:pPr>
    </w:p>
    <w:p>
      <w:pPr>
        <w:pStyle w:val="Heading2"/>
      </w:pPr>
      <w:r>
        <w:t>1.6 Current repository and release baseline</w:t>
      </w:r>
    </w:p>
    <w:p>
      <w:pPr>
        <w:pStyle w:val="ListBullet"/>
        <w:spacing w:after="40"/>
      </w:pPr>
      <w:r>
        <w:t>The accepted current source candidate previously analysed is the latest CymBuild.Monorepo archive supplied in this project; exact Git branch and commit remain unproven where the archive lacked the main .git history.</w:t>
      </w:r>
    </w:p>
    <w:p>
      <w:pPr>
        <w:pStyle w:val="ListBullet"/>
        <w:spacing w:after="40"/>
      </w:pPr>
      <w:r>
        <w:t>The active schema runner identified in prior analysis is the R38 implementation. The last independently verified deployed baseline remains CymBuild 26.3 / CYB361_R27; the historical QA run Guid is audit evidence only and must never be reused.</w:t>
      </w:r>
    </w:p>
    <w:p>
      <w:pPr>
        <w:pStyle w:val="ListBullet"/>
        <w:spacing w:after="40"/>
      </w:pPr>
      <w:r>
        <w:t>Core projects currently span .NET 10 and .NET 9 targets; the exact supported production runtime matrix must be confirmed before final Docker base images are locked.</w:t>
      </w:r>
    </w:p>
    <w:p>
      <w:pPr>
        <w:pStyle w:val="ListBullet"/>
        <w:spacing w:after="40"/>
      </w:pPr>
      <w:r>
        <w:t>Existing container and Kubernetes files are placeholders and are not production-ready: they contain wrong runtime assumptions, latest tags, embedded secrets, incomplete service definitions and unsafe hosting assumptions.</w:t>
      </w:r>
    </w:p>
    <w:p>
      <w:pPr>
        <w:pStyle w:val="ListBullet"/>
        <w:spacing w:after="40"/>
      </w:pPr>
      <w:r>
        <w:t>The source archive previously showed secret material, client-side secrets, certificates and generated output that must be removed or rotated before pipeline onboarding.</w:t>
      </w:r>
    </w:p>
    <w:p>
      <w:pPr>
        <w:pStyle w:val="Heading1"/>
      </w:pPr>
      <w:r>
        <w:t>2. Workshop learning incorporated into the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536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Workshop lesson</w:t>
            </w:r>
          </w:p>
        </w:tc>
        <w:tc>
          <w:tcPr>
            <w:tcW w:type="dxa" w:w="4968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CymBuild design consequence</w:t>
            </w:r>
          </w:p>
        </w:tc>
      </w:tr>
      <w:tr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 Deployment can apply successfully while Pods fail because ConfigMaps or Secrets are missing or contain the wrong key.</w:t>
            </w:r>
          </w:p>
        </w:tc>
        <w:tc>
          <w:tcPr>
            <w:tcW w:type="dxa" w:w="49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Pre-deployment validation must verify every referenced ConfigMap, Secret name/key and imagePullSecret before rollout. CreateContainerConfigError is a configuration dependency failure, not an application crash.</w:t>
            </w:r>
          </w:p>
        </w:tc>
      </w:tr>
      <w:tr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Healthy Pods do not guarantee a working Service; selectors must match Pod labels and EndpointSlices must be populated.</w:t>
            </w:r>
          </w:p>
        </w:tc>
        <w:tc>
          <w:tcPr>
            <w:tcW w:type="dxa" w:w="49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Smoke tests must inspect labels, Services and EndpointSlices and perform an in-cluster request through a diagnostic client.</w:t>
            </w:r>
          </w:p>
        </w:tc>
      </w:tr>
      <w:tr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Ingress routes to a Service port, while Service targetPort routes to the Pod port.</w:t>
            </w:r>
          </w:p>
        </w:tc>
        <w:tc>
          <w:tcPr>
            <w:tcW w:type="dxa" w:w="49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Manifest validation and smoke tests must validate the full route: external hostname/path -&gt; Ingress -&gt; Service port -&gt; targetPort -&gt; ready Pod.</w:t>
            </w:r>
          </w:p>
        </w:tc>
      </w:tr>
      <w:tr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Readiness failures correctly remove Pods from Service traffic.</w:t>
            </w:r>
          </w:p>
        </w:tc>
        <w:tc>
          <w:tcPr>
            <w:tcW w:type="dxa" w:w="49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Every network service needs meaningful readiness/startup/liveness probes; rollout success must require ready endpoints, not merely Running containers.</w:t>
            </w:r>
          </w:p>
        </w:tc>
      </w:tr>
      <w:tr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Pods are ephemeral; PVCs preserve data. Longhorn problems often surface as application instability.</w:t>
            </w:r>
          </w:p>
        </w:tc>
        <w:tc>
          <w:tcPr>
            <w:tcW w:type="dxa" w:w="49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Use persistent storage only where required; monitor PVC binding, attachment and Longhorn health before blaming application code.</w:t>
            </w:r>
          </w:p>
        </w:tc>
      </w:tr>
      <w:tr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Kubeconfig and pipeline identities must be namespace-scoped.</w:t>
            </w:r>
          </w:p>
        </w:tc>
        <w:tc>
          <w:tcPr>
            <w:tcW w:type="dxa" w:w="49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Each environment pipeline receives a dedicated least-privilege ServiceAccount/credential limited to the CymBuild namespace and permitted resource types.</w:t>
            </w:r>
          </w:p>
        </w:tc>
      </w:tr>
      <w:tr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Prometheus rules feed Alertmanager; Grafana/Loki/OpsMon serve different scopes.</w:t>
            </w:r>
          </w:p>
        </w:tc>
        <w:tc>
          <w:tcPr>
            <w:tcW w:type="dxa" w:w="49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Define application dashboards and alert ownership, use cluster monitoring for Kubernetes workloads and OpsMon for external dependencies where applicable.</w:t>
            </w:r>
          </w:p>
        </w:tc>
      </w:tr>
      <w:tr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Operational troubleshooting should trace each dependency and document learning.</w:t>
            </w:r>
          </w:p>
        </w:tc>
        <w:tc>
          <w:tcPr>
            <w:tcW w:type="dxa" w:w="49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Adopt Detect -&gt; Triage -&gt; Trace -&gt; Recover -&gt; Learn as the release and incident runbook.</w:t>
            </w:r>
          </w:p>
        </w:tc>
      </w:tr>
    </w:tbl>
    <w:p>
      <w:pPr>
        <w:spacing w:after="20"/>
      </w:pPr>
    </w:p>
    <w:p>
      <w:pPr>
        <w:pStyle w:val="Heading1"/>
      </w:pPr>
      <w:r>
        <w:t>3. Target deployable architecture</w:t>
      </w:r>
    </w:p>
    <w:p>
      <w:pPr>
        <w:pStyle w:val="Heading2"/>
      </w:pPr>
      <w:r>
        <w:t>3.1 Containerised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88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Component class</w:t>
            </w:r>
          </w:p>
        </w:tc>
        <w:tc>
          <w:tcPr>
            <w:tcW w:type="dxa" w:w="3672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Proposed deployment form</w:t>
            </w:r>
          </w:p>
        </w:tc>
        <w:tc>
          <w:tcPr>
            <w:tcW w:type="dxa" w:w="3744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Key rule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PWA</w:t>
            </w:r>
          </w:p>
        </w:tc>
        <w:tc>
          <w:tcPr>
            <w:tcW w:type="dxa" w:w="36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Dedicated web/static hosting container or approved static hosting pattern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The Blazor PWA remains presentation-only and calls FormHelper/API Client; authentication callback and cache behaviour must be validated.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gRPC API</w:t>
            </w:r>
          </w:p>
        </w:tc>
        <w:tc>
          <w:tcPr>
            <w:tcW w:type="dxa" w:w="36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Kubernetes Deployment and ClusterIP Service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No hosted background workers should remain in every API replica unless proven safe and intentionally designed.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Outbox publisher</w:t>
            </w:r>
          </w:p>
        </w:tc>
        <w:tc>
          <w:tcPr>
            <w:tcW w:type="dxa" w:w="36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Independent Deployment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Idempotent publication, bounded retries, dead-letter/operational visibility and Kafka authentication/ACLs.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Invoice automation</w:t>
            </w:r>
          </w:p>
        </w:tc>
        <w:tc>
          <w:tcPr>
            <w:tcW w:type="dxa" w:w="36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Independent worker Deployment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Idempotent trigger-instance ledger and DataObjects/workflow compliance.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Sage integration processing</w:t>
            </w:r>
          </w:p>
        </w:tc>
        <w:tc>
          <w:tcPr>
            <w:tcW w:type="dxa" w:w="36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Independent worker or controlled microservice deployment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No direct Sage call from CymBuild; integration must be retry-safe and auditable.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Other hosted workers</w:t>
            </w:r>
          </w:p>
        </w:tc>
        <w:tc>
          <w:tcPr>
            <w:tcW w:type="dxa" w:w="36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Classify and separate when singleton, long-running or independently scalable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Share the API process only when concurrency, lifecycle and scaling behaviour are explicitly safe.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Schema deployment tool</w:t>
            </w:r>
          </w:p>
        </w:tc>
        <w:tc>
          <w:tcPr>
            <w:tcW w:type="dxa" w:w="36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Pipeline step or short-lived Kubernetes Job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Runs before application rollout; never on API startup.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Metadata deployment tool</w:t>
            </w:r>
          </w:p>
        </w:tc>
        <w:tc>
          <w:tcPr>
            <w:tcW w:type="dxa" w:w="36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Pipeline step or short-lived Kubernetes Job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Uses the current run-based SMigration lifecycle with validation, accepted selection, apply and verify.</w:t>
            </w:r>
          </w:p>
        </w:tc>
      </w:tr>
    </w:tbl>
    <w:p>
      <w:pPr>
        <w:spacing w:after="20"/>
      </w:pPr>
    </w:p>
    <w:p>
      <w:pPr>
        <w:pStyle w:val="Heading2"/>
      </w:pPr>
      <w:r>
        <w:t>3.2 External platform dependencies</w:t>
      </w:r>
    </w:p>
    <w:p>
      <w:pPr>
        <w:pStyle w:val="ListBullet"/>
        <w:spacing w:after="40"/>
      </w:pPr>
      <w:r>
        <w:t>SQL Server remains external to Kubernetes.</w:t>
      </w:r>
    </w:p>
    <w:p>
      <w:pPr>
        <w:pStyle w:val="ListBullet"/>
        <w:spacing w:after="40"/>
      </w:pPr>
      <w:r>
        <w:t>Kafka remains the Strimzi-managed shared platform. CymBuild receives dedicated topics/users/ACLs and publishes through the outbox worker.</w:t>
      </w:r>
    </w:p>
    <w:p>
      <w:pPr>
        <w:pStyle w:val="ListBullet"/>
        <w:spacing w:after="40"/>
      </w:pPr>
      <w:r>
        <w:t>Sage remains behind its controlled microservice/integration boundary.</w:t>
      </w:r>
    </w:p>
    <w:p>
      <w:pPr>
        <w:pStyle w:val="ListBullet"/>
        <w:spacing w:after="40"/>
      </w:pPr>
      <w:r>
        <w:t>KEMP LoadMaster and NGINX Ingress form the inbound route; DNS, certificates and health checks must be jointly agreed with platform/network owners.</w:t>
      </w:r>
    </w:p>
    <w:p>
      <w:pPr>
        <w:pStyle w:val="ListBullet"/>
        <w:spacing w:after="40"/>
      </w:pPr>
      <w:r>
        <w:t>Rancher Monitoring, Prometheus, Grafana, Alertmanager, Loki and OpenTelemetry form the primary in-cluster observability path. OpsMon remains appropriate for external systems and cross-platform operational dashboards.</w:t>
      </w:r>
    </w:p>
    <w:p>
      <w:pPr>
        <w:pStyle w:val="ListBullet"/>
        <w:spacing w:after="40"/>
      </w:pPr>
      <w:r>
        <w:t>Longhorn is available for Kubernetes persistence, but CymBuild workloads must be stateless unless a specific persistence requirement is proven.</w:t>
      </w:r>
    </w:p>
    <w:p>
      <w:pPr>
        <w:pStyle w:val="Heading2"/>
      </w:pPr>
      <w:r>
        <w:t>3.3 Namespace and resource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76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Resource</w:t>
            </w:r>
          </w:p>
        </w:tc>
        <w:tc>
          <w:tcPr>
            <w:tcW w:type="dxa" w:w="7128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Proposed model</w:t>
            </w:r>
          </w:p>
        </w:tc>
      </w:tr>
      <w:tr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Namespaces</w:t>
            </w:r>
          </w:p>
        </w:tc>
        <w:tc>
          <w:tcPr>
            <w:tcW w:type="dxa" w:w="71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One CymBuild namespace per physical environment, with final names confirmed by Platform Operations.</w:t>
            </w:r>
          </w:p>
        </w:tc>
      </w:tr>
      <w:tr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ServiceAccounts</w:t>
            </w:r>
          </w:p>
        </w:tc>
        <w:tc>
          <w:tcPr>
            <w:tcW w:type="dxa" w:w="71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Separate deployment identity, runtime identity and migration identity where privileges differ.</w:t>
            </w:r>
          </w:p>
        </w:tc>
      </w:tr>
      <w:tr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RBAC</w:t>
            </w:r>
          </w:p>
        </w:tc>
        <w:tc>
          <w:tcPr>
            <w:tcW w:type="dxa" w:w="71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Namespace-scoped permissions; no cluster-admin pipeline credentials.</w:t>
            </w:r>
          </w:p>
        </w:tc>
      </w:tr>
      <w:tr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NetworkPolicies</w:t>
            </w:r>
          </w:p>
        </w:tc>
        <w:tc>
          <w:tcPr>
            <w:tcW w:type="dxa" w:w="71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Default-deny target, then explicit ingress/egress for PWA/API, API/SQL, workers/Kafka and approved integrations.</w:t>
            </w:r>
          </w:p>
        </w:tc>
      </w:tr>
      <w:tr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Resource requests/limits</w:t>
            </w:r>
          </w:p>
        </w:tc>
        <w:tc>
          <w:tcPr>
            <w:tcW w:type="dxa" w:w="71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Required for every workload. Initial values measured in QA and tuned from Prometheus evidence.</w:t>
            </w:r>
          </w:p>
        </w:tc>
      </w:tr>
      <w:tr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Pod disruption and placement</w:t>
            </w:r>
          </w:p>
        </w:tc>
        <w:tc>
          <w:tcPr>
            <w:tcW w:type="dxa" w:w="71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Use multiple replicas where safe, PodDisruptionBudgets and topology spread/anti-affinity across workers. Singleton workers require explicit leader/concurrency design.</w:t>
            </w:r>
          </w:p>
        </w:tc>
      </w:tr>
      <w:tr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Storage</w:t>
            </w:r>
          </w:p>
        </w:tc>
        <w:tc>
          <w:tcPr>
            <w:tcW w:type="dxa" w:w="71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No PVC by default. Where approved, define claim, StorageClass, access mode, backup/restore owner and capacity alerts.</w:t>
            </w:r>
          </w:p>
        </w:tc>
      </w:tr>
    </w:tbl>
    <w:p>
      <w:pPr>
        <w:spacing w:after="20"/>
      </w:pPr>
    </w:p>
    <w:p>
      <w:pPr>
        <w:pStyle w:val="Heading1"/>
      </w:pPr>
      <w:r>
        <w:t>4. Proposed end-to-end CI/CD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sz w:val="20"/>
              </w:rPr>
              <w:t xml:space="preserve">Release principle: </w:t>
            </w:r>
            <w:r>
              <w:rPr>
                <w:rFonts w:ascii="Arial" w:hAnsi="Arial"/>
                <w:sz w:val="20"/>
              </w:rPr>
              <w:t>One release identifier links Jira ticket, Git commit, build evidence, image digests, schema plan/run, metadata plan/run, environment deployment and verification results.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648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376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6480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Required result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Trigger and release identity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Protected branch or release tag creates an immutable ReleaseId; validate Jira/branch/PR traceability and prevent duplicate concurrent releases.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Source and architecture validation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Validate solution structure, prohibited UI/API/SQL dependencies, forbidden direct status updates, DataObjects patterns, secret scanning and source cleanliness.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Restore, compile and static analysis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Restore with locked dependencies where supported; compile all deployable projects; treat warnings according to an agreed baseline; run formatting/analyser/security rules.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Automated tests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Run unit tests, API tests and SQL integration tests against an isolated database. Add contract, workflow, outbox idempotency and migration-runner tests as gaps are identified.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Build immutable images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Build one image for each deployable component using multi-stage Dockerfiles compatible with the private registry and RKE2/containerd. Tag with ReleaseId and Git SHA; record digest.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Supply-chain checks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Scan source, dependencies and images; create SBOM; verify no secrets; apply signing/attestation if platform capability is approved.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Publish to private registry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Push to docker.socotec.co.uk using a robot/service identity. Never use latest for QA/UAT/LIVE.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Environment preflight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Confirm namespace, RBAC, registry pull, ConfigMaps/Secrets, SQL/Kafka connectivity, available capacity, migration lock availability and target release policy.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Schema preview and acceptance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Run the source-controlled schema comparison/plan in Validate/WhatIf mode, enforce supported-object and baseline-hash gates, retain generated evidence and require approval appropriate to the environment.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Schema apply and verify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Apply accepted idempotent schema work through the controlled runner/Job; execute pre/post scripts as designed; verify target state and audit outcome.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Metadata stage, validate, accept, apply, verify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Use the run-based SMigration lifecycle. Preserve selected/excluded records and identity mapping; fail deployment if validation or verification does not pass.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Deploy application workloads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Apply declarative manifests/overlays referencing immutable digests. Wait for rollout, probes, ready endpoints and replica availability.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Smoke and integration checks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Check Pod state/events, ConfigMap/Secret references, Service selectors, EndpointSlices, Ingress route, gRPC/API health, SQL access, outbox publication and approved critical user journeys.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Promote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Promote the same image digests and the same governed release evidence from QA to UAT and LIVE, with environment approvals and no rebuild.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23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Post-deployment audit</w:t>
            </w:r>
          </w:p>
        </w:tc>
        <w:tc>
          <w:tcPr>
            <w:tcW w:type="dxa" w:w="64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Record release, digests, migration run IDs, approvals, verification, monitoring links and any exceptions. Publish Jira/Confluence release evidence.</w:t>
            </w:r>
          </w:p>
        </w:tc>
      </w:tr>
    </w:tbl>
    <w:p>
      <w:pPr>
        <w:spacing w:after="20"/>
      </w:pPr>
    </w:p>
    <w:p>
      <w:pPr>
        <w:pStyle w:val="Heading2"/>
      </w:pPr>
      <w:r>
        <w:t>4.1 Environment progression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296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Environment</w:t>
            </w:r>
          </w:p>
        </w:tc>
        <w:tc>
          <w:tcPr>
            <w:tcW w:type="dxa" w:w="2088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Trigger</w:t>
            </w:r>
          </w:p>
        </w:tc>
        <w:tc>
          <w:tcPr>
            <w:tcW w:type="dxa" w:w="3672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Minimum gate</w:t>
            </w:r>
          </w:p>
        </w:tc>
        <w:tc>
          <w:tcPr>
            <w:tcW w:type="dxa" w:w="3024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Failure action</w:t>
            </w:r>
          </w:p>
        </w:tc>
      </w:tr>
      <w:tr>
        <w:tc>
          <w:tcPr>
            <w:tcW w:type="dxa" w:w="12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Local DEV</w:t>
            </w:r>
          </w:p>
        </w:tc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Developer action</w:t>
            </w:r>
          </w:p>
        </w:tc>
        <w:tc>
          <w:tcPr>
            <w:tcW w:type="dxa" w:w="36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Build/tests, local Podman image execution, Hyper-V Minikube Kubernetes validation where relevant.</w:t>
            </w:r>
          </w:p>
        </w:tc>
        <w:tc>
          <w:tcPr>
            <w:tcW w:type="dxa" w:w="30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Fix locally; no shared environment impact.</w:t>
            </w:r>
          </w:p>
        </w:tc>
      </w:tr>
      <w:tr>
        <w:tc>
          <w:tcPr>
            <w:tcW w:type="dxa" w:w="12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QA</w:t>
            </w:r>
          </w:p>
        </w:tc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Automatic or controlled pipeline after merge</w:t>
            </w:r>
          </w:p>
        </w:tc>
        <w:tc>
          <w:tcPr>
            <w:tcW w:type="dxa" w:w="36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All build/security gates, schema/metadata preview and apply, rollout and smoke tests.</w:t>
            </w:r>
          </w:p>
        </w:tc>
        <w:tc>
          <w:tcPr>
            <w:tcW w:type="dxa" w:w="30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Stop release; retain logs and migration evidence; forward-fix source.</w:t>
            </w:r>
          </w:p>
        </w:tc>
      </w:tr>
      <w:tr>
        <w:tc>
          <w:tcPr>
            <w:tcW w:type="dxa" w:w="12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UAT</w:t>
            </w:r>
          </w:p>
        </w:tc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Manual approval after successful QA</w:t>
            </w:r>
          </w:p>
        </w:tc>
        <w:tc>
          <w:tcPr>
            <w:tcW w:type="dxa" w:w="36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Same digests, accepted release evidence, UAT configuration validation and business test readiness.</w:t>
            </w:r>
          </w:p>
        </w:tc>
        <w:tc>
          <w:tcPr>
            <w:tcW w:type="dxa" w:w="30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Rollback application digest where safe; database changes use controlled roll-forward unless an approved reversible change exists.</w:t>
            </w:r>
          </w:p>
        </w:tc>
      </w:tr>
      <w:tr>
        <w:tc>
          <w:tcPr>
            <w:tcW w:type="dxa" w:w="12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LIVE</w:t>
            </w:r>
          </w:p>
        </w:tc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Restricted change approval</w:t>
            </w:r>
          </w:p>
        </w:tc>
        <w:tc>
          <w:tcPr>
            <w:tcW w:type="dxa" w:w="36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Same tested digests, approved schema/metadata plans, maintenance/communication requirements, monitoring and rollback readiness.</w:t>
            </w:r>
          </w:p>
        </w:tc>
        <w:tc>
          <w:tcPr>
            <w:tcW w:type="dxa" w:w="30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Abort before rollout on migration failure; application rollback only to a schema-compatible digest; escalate database recovery to authorised DBA/Platform process.</w:t>
            </w:r>
          </w:p>
        </w:tc>
      </w:tr>
    </w:tbl>
    <w:p>
      <w:pPr>
        <w:spacing w:after="20"/>
      </w:pPr>
    </w:p>
    <w:p>
      <w:pPr>
        <w:pStyle w:val="Heading1"/>
      </w:pPr>
      <w:r>
        <w:t>5. Schema and metadata deployment model</w:t>
      </w:r>
    </w:p>
    <w:p>
      <w:pPr>
        <w:pStyle w:val="Heading2"/>
      </w:pPr>
      <w:r>
        <w:t>5.1 Schema sequence</w:t>
      </w:r>
    </w:p>
    <w:p>
      <w:pPr>
        <w:spacing w:after="80"/>
        <w:ind w:left="317" w:hanging="259"/>
      </w:pPr>
      <w:r>
        <w:t>1. Acquire a release/deployment lock for the target environment.</w:t>
      </w:r>
    </w:p>
    <w:p>
      <w:pPr>
        <w:spacing w:after="80"/>
        <w:ind w:left="317" w:hanging="259"/>
      </w:pPr>
      <w:r>
        <w:t>2. Validate the target server/database, ReleaseReference and source baseline.</w:t>
      </w:r>
    </w:p>
    <w:p>
      <w:pPr>
        <w:spacing w:after="80"/>
        <w:ind w:left="317" w:hanging="259"/>
      </w:pPr>
      <w:r>
        <w:t>3. Run SCore.PreDeploymentScript on source and target according to the established rules.</w:t>
      </w:r>
    </w:p>
    <w:p>
      <w:pPr>
        <w:spacing w:after="80"/>
        <w:ind w:left="317" w:hanging="259"/>
      </w:pPr>
      <w:r>
        <w:t>4. Generate the comparison and deployment plan.</w:t>
      </w:r>
    </w:p>
    <w:p>
      <w:pPr>
        <w:spacing w:after="80"/>
        <w:ind w:left="317" w:hanging="259"/>
      </w:pPr>
      <w:r>
        <w:t>5. Reject unsupported or unaccepted differences; preserve baseline-hash protection.</w:t>
      </w:r>
    </w:p>
    <w:p>
      <w:pPr>
        <w:spacing w:after="80"/>
        <w:ind w:left="317" w:hanging="259"/>
      </w:pPr>
      <w:r>
        <w:t>6. Accept the reviewed plan through the governed process.</w:t>
      </w:r>
    </w:p>
    <w:p>
      <w:pPr>
        <w:spacing w:after="80"/>
        <w:ind w:left="317" w:hanging="259"/>
      </w:pPr>
      <w:r>
        <w:t>7. Apply selected supported items only.</w:t>
      </w:r>
    </w:p>
    <w:p>
      <w:pPr>
        <w:spacing w:after="80"/>
        <w:ind w:left="317" w:hanging="259"/>
      </w:pPr>
      <w:r>
        <w:t>8. Run SCore.PostDeploymentScript to restore schema-bound objects where required.</w:t>
      </w:r>
    </w:p>
    <w:p>
      <w:pPr>
        <w:spacing w:after="80"/>
        <w:ind w:left="317" w:hanging="259"/>
      </w:pPr>
      <w:r>
        <w:t>9. Verify object state and deployment audit records.</w:t>
      </w:r>
    </w:p>
    <w:p>
      <w:pPr>
        <w:spacing w:after="80"/>
        <w:ind w:left="317" w:hanging="259"/>
      </w:pPr>
      <w:r>
        <w:t>10. Release the lock only after verification is complete.</w:t>
      </w:r>
    </w:p>
    <w:p>
      <w:pPr>
        <w:pStyle w:val="Heading2"/>
      </w:pPr>
      <w:r>
        <w:t>5.2 Metadata sequence</w:t>
      </w:r>
    </w:p>
    <w:p>
      <w:pPr>
        <w:spacing w:after="80"/>
        <w:ind w:left="317" w:hanging="259"/>
      </w:pPr>
      <w:r>
        <w:t>1. Create a metadata migration run and stage source/target records.</w:t>
      </w:r>
    </w:p>
    <w:p>
      <w:pPr>
        <w:spacing w:after="80"/>
        <w:ind w:left="317" w:hanging="259"/>
      </w:pPr>
      <w:r>
        <w:t>2. Validate metadata and build the identity map.</w:t>
      </w:r>
    </w:p>
    <w:p>
      <w:pPr>
        <w:spacing w:after="80"/>
        <w:ind w:left="317" w:hanging="259"/>
      </w:pPr>
      <w:r>
        <w:t>3. Review differences; explicitly ignore or override where governed.</w:t>
      </w:r>
    </w:p>
    <w:p>
      <w:pPr>
        <w:spacing w:after="80"/>
        <w:ind w:left="317" w:hanging="259"/>
      </w:pPr>
      <w:r>
        <w:t>4. Select records and validate the selected set.</w:t>
      </w:r>
    </w:p>
    <w:p>
      <w:pPr>
        <w:spacing w:after="80"/>
        <w:ind w:left="317" w:hanging="259"/>
      </w:pPr>
      <w:r>
        <w:t>5. Generate an apply preview and retain its hash/evidence.</w:t>
      </w:r>
    </w:p>
    <w:p>
      <w:pPr>
        <w:spacing w:after="80"/>
        <w:ind w:left="317" w:hanging="259"/>
      </w:pPr>
      <w:r>
        <w:t>6. Accept the run for deployment.</w:t>
      </w:r>
    </w:p>
    <w:p>
      <w:pPr>
        <w:spacing w:after="80"/>
        <w:ind w:left="317" w:hanging="259"/>
      </w:pPr>
      <w:r>
        <w:t>7. Apply idempotent upserts in dependency order, including DataObjects rows.</w:t>
      </w:r>
    </w:p>
    <w:p>
      <w:pPr>
        <w:spacing w:after="80"/>
        <w:ind w:left="317" w:hanging="259"/>
      </w:pPr>
      <w:r>
        <w:t>8. Verify deployed metadata and audit the run.</w:t>
      </w:r>
    </w:p>
    <w:p>
      <w:r>
        <w:rPr>
          <w:b/>
        </w:rPr>
        <w:t xml:space="preserve">Mandatory order for grid metadata: </w:t>
      </w:r>
      <w:r>
        <w:t>GridDefinition -&gt; GridViewDefinition -&gt; GridViewColumnDefinition.</w:t>
      </w:r>
    </w:p>
    <w:p>
      <w:pPr>
        <w:pStyle w:val="Heading2"/>
      </w:pPr>
      <w:r>
        <w:t>5.3 Database rollback policy</w:t>
      </w:r>
    </w:p>
    <w:p>
      <w:pPr>
        <w:pStyle w:val="ListBullet"/>
        <w:spacing w:after="40"/>
      </w:pPr>
      <w:r>
        <w:t>The normal recovery method is source-controlled roll-forward, not ad hoc reverse SQL.</w:t>
      </w:r>
    </w:p>
    <w:p>
      <w:pPr>
        <w:pStyle w:val="ListBullet"/>
        <w:spacing w:after="40"/>
      </w:pPr>
      <w:r>
        <w:t>The pipeline must stop before application rollout when schema or metadata apply/verify fails.</w:t>
      </w:r>
    </w:p>
    <w:p>
      <w:pPr>
        <w:pStyle w:val="ListBullet"/>
        <w:spacing w:after="40"/>
      </w:pPr>
      <w:r>
        <w:t>Application rollback is permitted only when the previous image is compatible with the already-applied database state.</w:t>
      </w:r>
    </w:p>
    <w:p>
      <w:pPr>
        <w:pStyle w:val="ListBullet"/>
        <w:spacing w:after="40"/>
      </w:pPr>
      <w:r>
        <w:t>Database restore is an emergency operational procedure owned by authorised platform/DBA roles, not an automatic pipeline step.</w:t>
      </w:r>
    </w:p>
    <w:p>
      <w:pPr>
        <w:pStyle w:val="ListBullet"/>
        <w:spacing w:after="40"/>
      </w:pPr>
      <w:r>
        <w:t>Destructive or one-way changes require explicit release design, data migration validation, backup/recovery evidence and approval.</w:t>
      </w:r>
    </w:p>
    <w:p>
      <w:pPr>
        <w:pStyle w:val="Heading1"/>
      </w:pPr>
      <w:r>
        <w:t>6. Kubernetes packaging and configuration</w:t>
      </w:r>
    </w:p>
    <w:p>
      <w:pPr>
        <w:pStyle w:val="Heading2"/>
      </w:pPr>
      <w:r>
        <w:t>6.1 Recommended repository structure</w:t>
      </w:r>
    </w:p>
    <w:p>
      <w:pPr>
        <w:pStyle w:val="Code"/>
      </w:pPr>
      <w:r>
        <w:t>deploy/</w:t>
        <w:br/>
        <w:t xml:space="preserve">  base/</w:t>
        <w:br/>
        <w:t xml:space="preserve">    pwa/</w:t>
        <w:br/>
        <w:t xml:space="preserve">    api/</w:t>
        <w:br/>
        <w:t xml:space="preserve">    workers/</w:t>
        <w:br/>
        <w:t xml:space="preserve">    services/</w:t>
        <w:br/>
        <w:t xml:space="preserve">    network-policies/</w:t>
        <w:br/>
        <w:t xml:space="preserve">    monitoring/</w:t>
        <w:br/>
        <w:t xml:space="preserve">  overlays/</w:t>
        <w:br/>
        <w:t xml:space="preserve">    qa/</w:t>
        <w:br/>
        <w:t xml:space="preserve">    uat/</w:t>
        <w:br/>
        <w:t xml:space="preserve">    live/</w:t>
        <w:br/>
        <w:t xml:space="preserve">  jobs/</w:t>
        <w:br/>
        <w:t xml:space="preserve">    schema-migration/</w:t>
        <w:br/>
        <w:t xml:space="preserve">    metadata-migration/</w:t>
        <w:br/>
        <w:t>pipelines/</w:t>
        <w:br/>
        <w:t xml:space="preserve">  bitbucket-pipelines.yml</w:t>
        <w:br/>
        <w:t>tools/</w:t>
        <w:br/>
        <w:t xml:space="preserve">  SchemaDeployment/</w:t>
        <w:br/>
        <w:t xml:space="preserve">  MetadataDeployment/</w:t>
        <w:br/>
      </w:r>
    </w:p>
    <w:p>
      <w:r>
        <w:t>Provisional packaging choice: use Kustomize base/overlays unless SOCOTEC has an established Helm or GitOps standard that must be followed. The decision is retained in the unknowns register rather than assumed.</w:t>
      </w:r>
    </w:p>
    <w:p>
      <w:pPr>
        <w:pStyle w:val="Heading2"/>
      </w:pPr>
      <w:r>
        <w:t>6.2 Configuration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04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Configuration type</w:t>
            </w:r>
          </w:p>
        </w:tc>
        <w:tc>
          <w:tcPr>
            <w:tcW w:type="dxa" w:w="3096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3888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Rule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Non-sensitive environment configuration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ConfigMap or deployment environment variables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Source-controlled template/overlay; environment values managed through approved deployment variables.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Credentials, certificates, API keys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Approved Kubernetes Secret mechanism / external secret manager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Never committed to Git, baked into images or exposed to the PWA.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Connection strings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Secret reference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Use environment-specific service identity; exact authentication mechanism must be confirmed.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Feature flags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ConfigMap or approved flag service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Changes are auditable and environment-scoped.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Registry credentials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Namespace imagePullSecret or node-level approved configuration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Managed by Platform Operations; rotation procedure documented.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PWA public configuration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Only values safe for a browser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 client secrets. Treat all PWA-delivered values as publicly inspectable.</w:t>
            </w:r>
          </w:p>
        </w:tc>
      </w:tr>
    </w:tbl>
    <w:p>
      <w:pPr>
        <w:spacing w:after="20"/>
      </w:pPr>
    </w:p>
    <w:p>
      <w:pPr>
        <w:pStyle w:val="Heading2"/>
      </w:pPr>
      <w:r>
        <w:t>6.3 Health and rollout requirements</w:t>
      </w:r>
    </w:p>
    <w:p>
      <w:pPr>
        <w:pStyle w:val="ListBullet"/>
        <w:spacing w:after="40"/>
      </w:pPr>
      <w:r>
        <w:t>startupProbe where application startup can exceed normal readiness timing.</w:t>
      </w:r>
    </w:p>
    <w:p>
      <w:pPr>
        <w:pStyle w:val="ListBullet"/>
        <w:spacing w:after="40"/>
      </w:pPr>
      <w:r>
        <w:t>readinessProbe must test whether the Pod can safely receive traffic, including critical dependencies only when that is operationally appropriate.</w:t>
      </w:r>
    </w:p>
    <w:p>
      <w:pPr>
        <w:pStyle w:val="ListBullet"/>
        <w:spacing w:after="40"/>
      </w:pPr>
      <w:r>
        <w:t>livenessProbe must detect unrecoverable process failure without causing restart loops for temporary dependency outages.</w:t>
      </w:r>
    </w:p>
    <w:p>
      <w:pPr>
        <w:pStyle w:val="ListBullet"/>
        <w:spacing w:after="40"/>
      </w:pPr>
      <w:r>
        <w:t>Every Service selector must match the Pod labels; every Service targetPort must match a named/numeric container port.</w:t>
      </w:r>
    </w:p>
    <w:p>
      <w:pPr>
        <w:pStyle w:val="ListBullet"/>
        <w:spacing w:after="40"/>
      </w:pPr>
      <w:r>
        <w:t>Every Ingress backend port must match the Service port, not the container port unless they are intentionally equal.</w:t>
      </w:r>
    </w:p>
    <w:p>
      <w:pPr>
        <w:pStyle w:val="ListBullet"/>
        <w:spacing w:after="40"/>
      </w:pPr>
      <w:r>
        <w:t>A successful rollout requires ready Pods and populated EndpointSlices, not only a Running container state.</w:t>
      </w:r>
    </w:p>
    <w:p>
      <w:pPr>
        <w:pStyle w:val="Heading1"/>
      </w:pPr>
      <w:r>
        <w:t>7. Security and compliance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72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5112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Proposed implementation</w:t>
            </w:r>
          </w:p>
        </w:tc>
        <w:tc>
          <w:tcPr>
            <w:tcW w:type="dxa" w:w="2304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Gate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Secret hygiene</w:t>
            </w:r>
          </w:p>
        </w:tc>
        <w:tc>
          <w:tcPr>
            <w:tcW w:type="dxa" w:w="51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Remove/rotate exposed repository and PWA secrets; block future commits with scanning.</w:t>
            </w:r>
          </w:p>
        </w:tc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 pipeline onboarding until critical findings are closed.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Image provenance</w:t>
            </w:r>
          </w:p>
        </w:tc>
        <w:tc>
          <w:tcPr>
            <w:tcW w:type="dxa" w:w="51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Immutable tags/digests, SBOM, vulnerability scan and optional signing/attestation.</w:t>
            </w:r>
          </w:p>
        </w:tc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Thresholds and exception process confirmed before UAT.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Runtime identity</w:t>
            </w:r>
          </w:p>
        </w:tc>
        <w:tc>
          <w:tcPr>
            <w:tcW w:type="dxa" w:w="51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Dedicated least-privilege ServiceAccount per workload class where required.</w:t>
            </w:r>
          </w:p>
        </w:tc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 default service account for privileged workloads.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Deployment identity</w:t>
            </w:r>
          </w:p>
        </w:tc>
        <w:tc>
          <w:tcPr>
            <w:tcW w:type="dxa" w:w="51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Namespace-scoped kubeconfig/token or approved workload identity.</w:t>
            </w:r>
          </w:p>
        </w:tc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 broad cluster credentials in Bitbucket variables.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Container hardening</w:t>
            </w:r>
          </w:p>
        </w:tc>
        <w:tc>
          <w:tcPr>
            <w:tcW w:type="dxa" w:w="51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Run as non-root where compatible, drop capabilities, read-only root filesystem where practical, seccomp and resource limits.</w:t>
            </w:r>
          </w:p>
        </w:tc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Exceptions documented with evidence.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Network segmentation</w:t>
            </w:r>
          </w:p>
        </w:tc>
        <w:tc>
          <w:tcPr>
            <w:tcW w:type="dxa" w:w="51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Default-deny policy target with explicit required flows.</w:t>
            </w:r>
          </w:p>
        </w:tc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Validated in QA before UAT.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SQL access</w:t>
            </w:r>
          </w:p>
        </w:tc>
        <w:tc>
          <w:tcPr>
            <w:tcW w:type="dxa" w:w="51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Dedicated environment service identity with least privilege and audited connectivity.</w:t>
            </w:r>
          </w:p>
        </w:tc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Authentication and rotation model confirmed.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Kafka access</w:t>
            </w:r>
          </w:p>
        </w:tc>
        <w:tc>
          <w:tcPr>
            <w:tcW w:type="dxa" w:w="51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Dedicated Strimzi KafkaUser, SCRAM/TLS as platform-approved and least-privilege ACLs.</w:t>
            </w:r>
          </w:p>
        </w:tc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Topics/users/ACLs created before worker rollout.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Ingress/TLS</w:t>
            </w:r>
          </w:p>
        </w:tc>
        <w:tc>
          <w:tcPr>
            <w:tcW w:type="dxa" w:w="51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KEMP/NGINX routing, approved certificate custody and health checks.</w:t>
            </w:r>
          </w:p>
        </w:tc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DNS/TLS/host-path evidence before external testing.</w:t>
            </w:r>
          </w:p>
        </w:tc>
      </w:tr>
    </w:tbl>
    <w:p>
      <w:pPr>
        <w:spacing w:after="20"/>
      </w:pPr>
    </w:p>
    <w:p>
      <w:pPr>
        <w:pStyle w:val="Heading1"/>
      </w:pPr>
      <w:r>
        <w:t>8. Observability, support and incident operations</w:t>
      </w:r>
    </w:p>
    <w:p>
      <w:pPr>
        <w:pStyle w:val="Heading2"/>
      </w:pPr>
      <w:r>
        <w:t>8.1 Minimum telemetry</w:t>
      </w:r>
    </w:p>
    <w:p>
      <w:pPr>
        <w:pStyle w:val="ListBullet"/>
        <w:spacing w:after="40"/>
      </w:pPr>
      <w:r>
        <w:t>Structured application logs with correlation identifiers propagated PWA -&gt; gRPC API -&gt; EF/workflow -&gt; outbox -&gt; integration worker.</w:t>
      </w:r>
    </w:p>
    <w:p>
      <w:pPr>
        <w:pStyle w:val="ListBullet"/>
        <w:spacing w:after="40"/>
      </w:pPr>
      <w:r>
        <w:t>Metrics for request rate, latency, failures, authentication failures, database dependency health, outbox backlog/age, worker retries, invoice automation outcomes and Kafka publication.</w:t>
      </w:r>
    </w:p>
    <w:p>
      <w:pPr>
        <w:pStyle w:val="ListBullet"/>
        <w:spacing w:after="40"/>
      </w:pPr>
      <w:r>
        <w:t>Kubernetes metrics for replica availability, restart count, readiness failures, CPU/memory saturation, pending Pods and rollout duration.</w:t>
      </w:r>
    </w:p>
    <w:p>
      <w:pPr>
        <w:pStyle w:val="ListBullet"/>
        <w:spacing w:after="40"/>
      </w:pPr>
      <w:r>
        <w:t>Storage metrics only for approved PVC-backed workloads: binding, attachment, capacity, latency and Longhorn replica health.</w:t>
      </w:r>
    </w:p>
    <w:p>
      <w:pPr>
        <w:pStyle w:val="ListBullet"/>
        <w:spacing w:after="40"/>
      </w:pPr>
      <w:r>
        <w:t>Traces through OpenTelemetry where supported, especially across API, database, outbox and external microservices.</w:t>
      </w:r>
    </w:p>
    <w:p>
      <w:pPr>
        <w:pStyle w:val="Heading2"/>
      </w:pPr>
      <w:r>
        <w:t>8.2 Alert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232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Alert class</w:t>
            </w:r>
          </w:p>
        </w:tc>
        <w:tc>
          <w:tcPr>
            <w:tcW w:type="dxa" w:w="3096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Primary owner</w:t>
            </w:r>
          </w:p>
        </w:tc>
        <w:tc>
          <w:tcPr>
            <w:tcW w:type="dxa" w:w="3960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Platform/RKE2/Rancher/Longhorn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DevOps / Platform Operations</w:t>
            </w:r>
          </w:p>
        </w:tc>
        <w:tc>
          <w:tcPr>
            <w:tcW w:type="dxa" w:w="39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Node health, cluster control plane, ingress controller, Longhorn failures, namespace capacity.</w:t>
            </w:r>
          </w:p>
        </w:tc>
      </w:tr>
      <w:tr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Application/API/workers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CymBuild Development</w:t>
            </w:r>
          </w:p>
        </w:tc>
        <w:tc>
          <w:tcPr>
            <w:tcW w:type="dxa" w:w="39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Error rate, failed readiness, request latency, outbox backlog, automation failures.</w:t>
            </w:r>
          </w:p>
        </w:tc>
      </w:tr>
      <w:tr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Kafka platform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DevOps / Data Engineering according to service boundary</w:t>
            </w:r>
          </w:p>
        </w:tc>
        <w:tc>
          <w:tcPr>
            <w:tcW w:type="dxa" w:w="39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Broker/operator health, unavailable topics, consumer lag and access failures.</w:t>
            </w:r>
          </w:p>
        </w:tc>
      </w:tr>
      <w:tr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Business workflow/invoicing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CymBuild Development with business support ownership</w:t>
            </w:r>
          </w:p>
        </w:tc>
        <w:tc>
          <w:tcPr>
            <w:tcW w:type="dxa" w:w="39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Stuck workflow transitions, failed automation, invoice trigger exceptions.</w:t>
            </w:r>
          </w:p>
        </w:tc>
      </w:tr>
      <w:tr>
        <w:tc>
          <w:tcPr>
            <w:tcW w:type="dxa" w:w="22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External integrations</w:t>
            </w:r>
          </w:p>
        </w:tc>
        <w:tc>
          <w:tcPr>
            <w:tcW w:type="dxa" w:w="30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Owning microservice team plus CymBuild integration owner</w:t>
            </w:r>
          </w:p>
        </w:tc>
        <w:tc>
          <w:tcPr>
            <w:tcW w:type="dxa" w:w="39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Sage/API failures, retry exhaustion, dead-letter conditions.</w:t>
            </w:r>
          </w:p>
        </w:tc>
      </w:tr>
    </w:tbl>
    <w:p>
      <w:pPr>
        <w:spacing w:after="20"/>
      </w:pPr>
    </w:p>
    <w:p>
      <w:pPr>
        <w:pStyle w:val="Heading2"/>
      </w:pPr>
      <w:r>
        <w:t>8.3 Standard troubleshooting path</w:t>
      </w:r>
    </w:p>
    <w:p>
      <w:pPr>
        <w:spacing w:after="80"/>
        <w:ind w:left="317" w:hanging="259"/>
      </w:pPr>
      <w:r>
        <w:t>1. Detect: confirm the alert/user symptom and affected environment/release.</w:t>
      </w:r>
    </w:p>
    <w:p>
      <w:pPr>
        <w:spacing w:after="80"/>
        <w:ind w:left="317" w:hanging="259"/>
      </w:pPr>
      <w:r>
        <w:t>2. Triage: determine blast radius, business impact and whether the workload is stateful.</w:t>
      </w:r>
    </w:p>
    <w:p>
      <w:pPr>
        <w:spacing w:after="80"/>
        <w:ind w:left="317" w:hanging="259"/>
      </w:pPr>
      <w:r>
        <w:t>3. Trace: follow the request or event path end to end. Check events, Pod configuration, Secret/ConfigMap references, probes, labels, EndpointSlices, Service, Ingress, SQL, workflow, outbox and integration.</w:t>
      </w:r>
    </w:p>
    <w:p>
      <w:pPr>
        <w:spacing w:after="80"/>
        <w:ind w:left="317" w:hanging="259"/>
      </w:pPr>
      <w:r>
        <w:t>4. Recover: choose the lowest-risk deterministic action. Avoid deleting stateful Pods or changing production manually without an approved recovery plan.</w:t>
      </w:r>
    </w:p>
    <w:p>
      <w:pPr>
        <w:spacing w:after="80"/>
        <w:ind w:left="317" w:hanging="259"/>
      </w:pPr>
      <w:r>
        <w:t>5. Learn: record root cause, evidence, corrective source change, missing telemetry and runbook update.</w:t>
      </w:r>
    </w:p>
    <w:p>
      <w:pPr>
        <w:pStyle w:val="Heading1"/>
      </w:pPr>
      <w:r>
        <w:t>9. Test and quality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88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Test layer</w:t>
            </w:r>
          </w:p>
        </w:tc>
        <w:tc>
          <w:tcPr>
            <w:tcW w:type="dxa" w:w="3384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3816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Required additions / confirmation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Compile and architecture tests</w:t>
            </w:r>
          </w:p>
        </w:tc>
        <w:tc>
          <w:tcPr>
            <w:tcW w:type="dxa" w:w="33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Prevent forbidden dependency paths and invalid platform patterns.</w:t>
            </w:r>
          </w:p>
        </w:tc>
        <w:tc>
          <w:tcPr>
            <w:tcW w:type="dxa" w:w="38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Automate UI -&gt; FormHelper -&gt; gRPC -&gt; EF -&gt; SQL boundary checks and prohibited direct status changes.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Unit tests</w:t>
            </w:r>
          </w:p>
        </w:tc>
        <w:tc>
          <w:tcPr>
            <w:tcW w:type="dxa" w:w="33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Deterministic business rules and mapping behaviour.</w:t>
            </w:r>
          </w:p>
        </w:tc>
        <w:tc>
          <w:tcPr>
            <w:tcW w:type="dxa" w:w="38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Inventory coverage and prioritise workflow, DataObjects and idempotency.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API/gRPC tests</w:t>
            </w:r>
          </w:p>
        </w:tc>
        <w:tc>
          <w:tcPr>
            <w:tcW w:type="dxa" w:w="33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Contracts, validation, authentication and error handling.</w:t>
            </w:r>
          </w:p>
        </w:tc>
        <w:tc>
          <w:tcPr>
            <w:tcW w:type="dxa" w:w="38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Exercise backward compatibility and versioned contracts.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SQL integration tests</w:t>
            </w:r>
          </w:p>
        </w:tc>
        <w:tc>
          <w:tcPr>
            <w:tcW w:type="dxa" w:w="33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Schema runner, stored procedures, workflow transitions and DataObjects invariants.</w:t>
            </w:r>
          </w:p>
        </w:tc>
        <w:tc>
          <w:tcPr>
            <w:tcW w:type="dxa" w:w="38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Use an isolated disposable database target; fix current runner/configuration issues before pipeline gating.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Migration tests</w:t>
            </w:r>
          </w:p>
        </w:tc>
        <w:tc>
          <w:tcPr>
            <w:tcW w:type="dxa" w:w="33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Idempotency and repeatability of schema and metadata apply.</w:t>
            </w:r>
          </w:p>
        </w:tc>
        <w:tc>
          <w:tcPr>
            <w:tcW w:type="dxa" w:w="38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Run apply twice, compare final state and prove no duplicate metadata/DataObjects.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Container tests</w:t>
            </w:r>
          </w:p>
        </w:tc>
        <w:tc>
          <w:tcPr>
            <w:tcW w:type="dxa" w:w="33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Image startup, non-root compatibility, configuration and health endpoints.</w:t>
            </w:r>
          </w:p>
        </w:tc>
        <w:tc>
          <w:tcPr>
            <w:tcW w:type="dxa" w:w="38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Run in Podman locally and pipeline runtime.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Kubernetes smoke tests</w:t>
            </w:r>
          </w:p>
        </w:tc>
        <w:tc>
          <w:tcPr>
            <w:tcW w:type="dxa" w:w="33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Probes, Services, EndpointSlices, Ingress, Secrets/ConfigMaps and resource limits.</w:t>
            </w:r>
          </w:p>
        </w:tc>
        <w:tc>
          <w:tcPr>
            <w:tcW w:type="dxa" w:w="38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Use a diagnostic client Pod and external route test.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Business journey tests</w:t>
            </w:r>
          </w:p>
        </w:tc>
        <w:tc>
          <w:tcPr>
            <w:tcW w:type="dxa" w:w="33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Critical enquiry-to-invoice lifecycle and authentication/session behaviour.</w:t>
            </w:r>
          </w:p>
        </w:tc>
        <w:tc>
          <w:tcPr>
            <w:tcW w:type="dxa" w:w="38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Define minimum QA/UAT suite with business owners.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Resilience tests</w:t>
            </w:r>
          </w:p>
        </w:tc>
        <w:tc>
          <w:tcPr>
            <w:tcW w:type="dxa" w:w="33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Worker retry, duplicate event, restart and dependency outage behaviour.</w:t>
            </w:r>
          </w:p>
        </w:tc>
        <w:tc>
          <w:tcPr>
            <w:tcW w:type="dxa" w:w="38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Prove outbox/idempotency and singleton/concurrency controls.</w:t>
            </w:r>
          </w:p>
        </w:tc>
      </w:tr>
    </w:tbl>
    <w:p>
      <w:pPr>
        <w:spacing w:after="20"/>
      </w:pPr>
    </w:p>
    <w:p>
      <w:pPr>
        <w:pStyle w:val="Heading1"/>
      </w:pPr>
      <w:r>
        <w:t>10. Implementation work packages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648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WP</w:t>
            </w:r>
          </w:p>
        </w:tc>
        <w:tc>
          <w:tcPr>
            <w:tcW w:type="dxa" w:w="2088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Work package</w:t>
            </w:r>
          </w:p>
        </w:tc>
        <w:tc>
          <w:tcPr>
            <w:tcW w:type="dxa" w:w="4752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Scope</w:t>
            </w:r>
          </w:p>
        </w:tc>
        <w:tc>
          <w:tcPr>
            <w:tcW w:type="dxa" w:w="2016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Exit criterion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WP0</w:t>
            </w:r>
          </w:p>
        </w:tc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Baseline and governance freeze</w:t>
            </w:r>
          </w:p>
        </w:tc>
        <w:tc>
          <w:tcPr>
            <w:tcW w:type="dxa" w:w="47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Confirm repository/branch/commit, active schema/metadata tooling, release naming, owners and decision register. Produce a signed-off source baseline.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No containerisation against an unverified source baseline.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WP1</w:t>
            </w:r>
          </w:p>
        </w:tc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Security and source hygiene</w:t>
            </w:r>
          </w:p>
        </w:tc>
        <w:tc>
          <w:tcPr>
            <w:tcW w:type="dxa" w:w="47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Remove generated output, secrets, certificates and client-side secret usage; rotate exposed credentials; add scanning.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Critical secret findings closed.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WP2</w:t>
            </w:r>
          </w:p>
        </w:tc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Runtime classification and worker separation</w:t>
            </w:r>
          </w:p>
        </w:tc>
        <w:tc>
          <w:tcPr>
            <w:tcW w:type="dxa" w:w="47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Catalogue executables/hosted services, decide API vs worker boundaries, singleton/concurrency needs and integration ownership.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Approved deployable component map.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WP3</w:t>
            </w:r>
          </w:p>
        </w:tc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Production Dockerfiles</w:t>
            </w:r>
          </w:p>
        </w:tc>
        <w:tc>
          <w:tcPr>
            <w:tcW w:type="dxa" w:w="47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Create multi-stage Dockerfiles per deployable, correct runtime versions, non-root where compatible, health endpoints and deterministic build contexts.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Images build and run locally through Podman with no behaviour loss.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WP4</w:t>
            </w:r>
          </w:p>
        </w:tc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Kubernetes base and environment overlays</w:t>
            </w:r>
          </w:p>
        </w:tc>
        <w:tc>
          <w:tcPr>
            <w:tcW w:type="dxa" w:w="47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Create Deployments, Services, Ingress, ConfigMaps, Secret references, RBAC, NetworkPolicies, resources, probes and monitoring resources.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QA manifests validate and deploy declaratively.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WP5</w:t>
            </w:r>
          </w:p>
        </w:tc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Bitbucket pipeline foundation</w:t>
            </w:r>
          </w:p>
        </w:tc>
        <w:tc>
          <w:tcPr>
            <w:tcW w:type="dxa" w:w="47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Self-hosted runner execution, restore/build/test/scan, registry authentication, immutable tagging/digests, artifacts and deployment variables.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QA build and image publication repeatable.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WP6</w:t>
            </w:r>
          </w:p>
        </w:tc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Schema and metadata pipeline integration</w:t>
            </w:r>
          </w:p>
        </w:tc>
        <w:tc>
          <w:tcPr>
            <w:tcW w:type="dxa" w:w="47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Package R38 runner and metadata tooling as controlled steps/Jobs with locks, evidence, acceptance and verification.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End-to-end QA database deployment passes twice idempotently.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WP7</w:t>
            </w:r>
          </w:p>
        </w:tc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QA deployment and smoke automation</w:t>
            </w:r>
          </w:p>
        </w:tc>
        <w:tc>
          <w:tcPr>
            <w:tcW w:type="dxa" w:w="47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Deploy to shared platform DEV/QA, validate routing, dependencies, workflow, outbox and monitoring.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Automated QA evidence and stable soak.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WP8</w:t>
            </w:r>
          </w:p>
        </w:tc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Observability and runbooks</w:t>
            </w:r>
          </w:p>
        </w:tc>
        <w:tc>
          <w:tcPr>
            <w:tcW w:type="dxa" w:w="47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Dashboards, alerts, logs/traces, release markers and Detect-Triage-Trace-Recover-Learn runbooks.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Alerts route to named owners and smoke failures are diagnosable.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WP9</w:t>
            </w:r>
          </w:p>
        </w:tc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UAT promotion</w:t>
            </w:r>
          </w:p>
        </w:tc>
        <w:tc>
          <w:tcPr>
            <w:tcW w:type="dxa" w:w="47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Promote identical digests, controlled DB/metadata changes and business test support.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UAT sign-off and rollback/recovery rehearsal.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WP10</w:t>
            </w:r>
          </w:p>
        </w:tc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LIVE readiness and controlled launch</w:t>
            </w:r>
          </w:p>
        </w:tc>
        <w:tc>
          <w:tcPr>
            <w:tcW w:type="dxa" w:w="47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Change approval, restricted credentials, release communications, monitoring, support rota and post-deployment verification.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Go-live approval with all critical unknowns closed.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WP11</w:t>
            </w:r>
          </w:p>
        </w:tc>
        <w:tc>
          <w:tcPr>
            <w:tcW w:type="dxa" w:w="20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BAU and continuous improvement</w:t>
            </w:r>
          </w:p>
        </w:tc>
        <w:tc>
          <w:tcPr>
            <w:tcW w:type="dxa" w:w="47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Upgrade cadence, vulnerability remediation, capacity review, incident learning and quarterly recovery rehearsal.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Operational ownership transferred and measured.</w:t>
            </w:r>
          </w:p>
        </w:tc>
      </w:tr>
    </w:tbl>
    <w:p>
      <w:pPr>
        <w:spacing w:after="20"/>
      </w:pPr>
    </w:p>
    <w:p>
      <w:pPr>
        <w:pStyle w:val="Heading1"/>
      </w:pPr>
      <w:r>
        <w:t>11. Unknowns and decision register</w:t>
      </w:r>
    </w:p>
    <w:p>
      <w:r>
        <w:t>These items are intentionally unresolved. They are not blockers to every work package, but each must be closed before the dependent environment or release gate.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576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1944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Decision</w:t>
            </w:r>
          </w:p>
        </w:tc>
        <w:tc>
          <w:tcPr>
            <w:tcW w:type="dxa" w:w="4536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Unknown / evidence required</w:t>
            </w:r>
          </w:p>
        </w:tc>
        <w:tc>
          <w:tcPr>
            <w:tcW w:type="dxa" w:w="1656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Owner</w:t>
            </w:r>
          </w:p>
        </w:tc>
        <w:tc>
          <w:tcPr>
            <w:tcW w:type="dxa" w:w="1224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Required by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U01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Authoritative Git source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Exact Bitbucket repository, default branch, current commit and whether the supplied archive contains all active changes.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Development lead + repository owner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WP0 / all releases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U02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Bitbucket platform and runner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Bitbucket Cloud or Data Center; runner OS, capacity, network reachability, Docker/Podman/build tooling and high-availability expectations.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DevOps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WP5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U03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Registry controls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Robot account, internal CA trust, repository naming, retention, vulnerability scanning, signing and pull-secret ownership for docker.socotec.co.uk.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DevOps / Security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WP3-WP5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U04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Kubernetes packaging standard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Kustomize, Helm, Rancher Fleet or other GitOps standard. Proposed default is Kustomize unless a mandated standard exists.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DevOps / Architecture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WP4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U05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Namespace and RBAC names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Final namespace names, projects, ServiceAccounts and permitted Kubernetes resource verbs per environment.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DevOps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WP4-WP10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U06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Deployment mechanism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Direct pipeline kubectl apply, Helm/Kustomize invocation, Rancher/Fleet, Argo CD or another approved controller.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DevOps / Architecture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WP4-WP5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U07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Ingress/DNS/TLS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External and internal hostnames, KEMP virtual services, TLS termination point, certificate ownership, NGINX class and health-check paths.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Network / DevOps / Security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WP4, WP7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U08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Secret management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Bitbucket secured variables plus Kubernetes Secrets, Sealed Secrets, Vault, External Secrets or another approved platform.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Security / DevOps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WP1, WP4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U09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SQL authentication and reachability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Runner/Job network route to each SQL environment, authentication identity, certificate trust, permissions and rotation.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DBA / DevOps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WP6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U10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Schema runner final baseline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Confirm R38 source is accepted, document differences from last verified R27 baseline and close stale documentation/hash expectations.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Development lead / DBA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WP0, WP6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U11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Metadata acceptance durability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Confirm the current run-based SMigration process durably records accepted selection/hash at parity with schema governance.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Development lead / DBA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WP6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U12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Worker decomposition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Which hosted services remain with API, which become independent Deployments, replica counts, leader election and singleton guarantees.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Development lead / Architecture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WP2-WP4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U13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PWA hosting model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Static NGINX container, ASP.NET host or approved web hosting; service-worker cache policy, token-expiry handling, redirect URIs and base paths.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Development lead / Security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WP2-WP4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U14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Runtime support matrix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Approved .NET 10/.NET 9 base images, support lifecycle and whether projects are upgraded/aligned before release.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Development lead / Architecture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WP3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U15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Kafka contract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Topics, partitions, retention, Strimzi KafkaUser, SCRAM/TLS, ACLs, schema/versioning and dead-letter approach.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Development / Data Engineering / DevOps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WP2, WP7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U16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Persistent storage requirements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Confirm whether any CymBuild container genuinely needs Longhorn/CIFS storage and define backup/restore ownership.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Development / DevOps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WP2, WP4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U17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Monitoring integration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Prometheus scrape conventions, Loki/Alloy/OTel endpoints, dashboard folders, alert receivers, retention and OpsMon boundary.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DevOps / Development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WP8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U18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Security gates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Approved scanners, CVE thresholds, exception workflow, SBOM format, signing/attestation requirement and retention.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Security / DevOps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WP5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U19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Approvals/change control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QA auto-deploy policy, UAT/LIVE approvers, Jira/Bitbucket deployment evidence, maintenance windows and emergency process.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Change Management / DevOps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WP5-WP10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U20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Rollback and DR ownership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Previous-digest retention, schema-compatible rollback rules, SQL backup/restore process, etcd/Longhorn recovery boundaries and rehearsal cadence.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DBA / DevOps / Development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WP9-WP11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U21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Production cluster version/cadence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Current supported RKE2/Kubernetes versions and planned upgrade cadence must be confirmed by DevOps rather than inferred from workshop discussion.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DevOps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WP4-WP11</w:t>
            </w:r>
          </w:p>
        </w:tc>
      </w:tr>
      <w:tr>
        <w:tc>
          <w:tcPr>
            <w:tcW w:type="dxa" w:w="5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U22</w:t>
            </w:r>
          </w:p>
        </w:tc>
        <w:tc>
          <w:tcPr>
            <w:tcW w:type="dxa" w:w="19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Visual Studio developer workflow</w:t>
            </w:r>
          </w:p>
        </w:tc>
        <w:tc>
          <w:tcPr>
            <w:tcW w:type="dxa" w:w="453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Visual Studio version, supported Podman integration and standard local workflow under the normal development account.</w:t>
            </w:r>
          </w:p>
        </w:tc>
        <w:tc>
          <w:tcPr>
            <w:tcW w:type="dxa" w:w="16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Development lead / Desktop Engineering</w:t>
            </w:r>
          </w:p>
        </w:tc>
        <w:tc>
          <w:tcPr>
            <w:tcW w:type="dxa" w:w="12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WP3</w:t>
            </w:r>
          </w:p>
        </w:tc>
      </w:tr>
    </w:tbl>
    <w:p>
      <w:pPr>
        <w:spacing w:after="20"/>
      </w:pPr>
    </w:p>
    <w:p>
      <w:pPr>
        <w:pStyle w:val="Heading1"/>
      </w:pPr>
      <w:r>
        <w:t>12. Principal delivery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648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Risk</w:t>
            </w:r>
          </w:p>
        </w:tc>
        <w:tc>
          <w:tcPr>
            <w:tcW w:type="dxa" w:w="2448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2880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Impact</w:t>
            </w:r>
          </w:p>
        </w:tc>
        <w:tc>
          <w:tcPr>
            <w:tcW w:type="dxa" w:w="3888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Mitigation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R1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Source baseline ambiguity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Containerising the wrong or mixed source state.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Freeze exact Git commit and validate R38/R27 history before implementation.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R2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Secrets already present in source/history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Credential compromise and unsafe browser exposure.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Immediate inventory, rotation, history/removal plan and automated scanning.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R3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Hosted workers duplicated by API replicas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Duplicate Sage/invoice/outbox processing.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Separate workers or implement explicit distributed concurrency controls before scaling API.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R4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Database change outruns application compatibility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Rollback impossible or partial outage.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Compatibility design, pre-apply validation, same-release evidence and schema-compatible application rollback rules.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R5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Manual environment drift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Rancher state differs from Git/pipeline.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Declarative source authority, drift checks and emergency-change backfill.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R6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Broad pipeline credentials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Cross-namespace or cross-environment blast radius.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Namespace-scoped ServiceAccounts/kubeconfigs and environment-specific credentials.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R7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Incorrect Ingress/Service/probe definitions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Running Pods but unavailable application.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Manifest validation, ready EndpointSlice checks, in-cluster and external smoke tests.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R8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Unnecessary PVC usage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Longhorn-related instability and scaling constraints.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Stateless-first design review; persistence requires explicit approval and operational plan.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R9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Registry or SQL connectivity from runners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Pipeline cannot publish or migrate.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Early network/CA/authentication proof-of-connectivity in WP0/WP5.</w:t>
            </w:r>
          </w:p>
        </w:tc>
      </w:tr>
      <w:tr>
        <w:tc>
          <w:tcPr>
            <w:tcW w:type="dxa" w:w="6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R10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Insufficient observability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Failures detected by users and hard to trace.</w:t>
            </w:r>
          </w:p>
        </w:tc>
        <w:tc>
          <w:tcPr>
            <w:tcW w:type="dxa" w:w="38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Telemetry and dashboards are release requirements, not post-launch enhancements.</w:t>
            </w:r>
          </w:p>
        </w:tc>
      </w:tr>
    </w:tbl>
    <w:p>
      <w:pPr>
        <w:spacing w:after="20"/>
      </w:pPr>
    </w:p>
    <w:p>
      <w:pPr>
        <w:pStyle w:val="Heading1"/>
      </w:pPr>
      <w:r>
        <w:t>13. Release readiness and go/no-go criteria</w:t>
      </w:r>
    </w:p>
    <w:p>
      <w:pPr>
        <w:pStyle w:val="Heading2"/>
      </w:pPr>
      <w:r>
        <w:t>13.1 QA entry criteria</w:t>
      </w:r>
    </w:p>
    <w:p>
      <w:pPr>
        <w:pStyle w:val="ListBullet"/>
        <w:spacing w:after="40"/>
      </w:pPr>
      <w:r>
        <w:t>Exact source commit and ReleaseId established.</w:t>
      </w:r>
    </w:p>
    <w:p>
      <w:pPr>
        <w:pStyle w:val="ListBullet"/>
        <w:spacing w:after="40"/>
      </w:pPr>
      <w:r>
        <w:t>Critical secret findings closed or explicitly blocked from deployment.</w:t>
      </w:r>
    </w:p>
    <w:p>
      <w:pPr>
        <w:pStyle w:val="ListBullet"/>
        <w:spacing w:after="40"/>
      </w:pPr>
      <w:r>
        <w:t>All deployable components classified and images built without latest tags.</w:t>
      </w:r>
    </w:p>
    <w:p>
      <w:pPr>
        <w:pStyle w:val="ListBullet"/>
        <w:spacing w:after="40"/>
      </w:pPr>
      <w:r>
        <w:t>Automated tests and architecture validations pass.</w:t>
      </w:r>
    </w:p>
    <w:p>
      <w:pPr>
        <w:pStyle w:val="ListBullet"/>
        <w:spacing w:after="40"/>
      </w:pPr>
      <w:r>
        <w:t>QA namespace, credentials, registry pull and SQL/Kafka connectivity proven.</w:t>
      </w:r>
    </w:p>
    <w:p>
      <w:pPr>
        <w:pStyle w:val="Heading2"/>
      </w:pPr>
      <w:r>
        <w:t>13.2 UAT entry criteria</w:t>
      </w:r>
    </w:p>
    <w:p>
      <w:pPr>
        <w:pStyle w:val="ListBullet"/>
        <w:spacing w:after="40"/>
      </w:pPr>
      <w:r>
        <w:t>QA schema and metadata apply/verify completed with retained evidence.</w:t>
      </w:r>
    </w:p>
    <w:p>
      <w:pPr>
        <w:pStyle w:val="ListBullet"/>
        <w:spacing w:after="40"/>
      </w:pPr>
      <w:r>
        <w:t>Application rollout and smoke tests pass, including ready EndpointSlices and external Ingress route.</w:t>
      </w:r>
    </w:p>
    <w:p>
      <w:pPr>
        <w:pStyle w:val="ListBullet"/>
        <w:spacing w:after="40"/>
      </w:pPr>
      <w:r>
        <w:t>No unresolved critical/high security finding without an approved exception.</w:t>
      </w:r>
    </w:p>
    <w:p>
      <w:pPr>
        <w:pStyle w:val="ListBullet"/>
        <w:spacing w:after="40"/>
      </w:pPr>
      <w:r>
        <w:t>Dashboards, alerts and support runbook are available.</w:t>
      </w:r>
    </w:p>
    <w:p>
      <w:pPr>
        <w:pStyle w:val="ListBullet"/>
        <w:spacing w:after="40"/>
      </w:pPr>
      <w:r>
        <w:t>Same immutable image digests are selected for UAT promotion.</w:t>
      </w:r>
    </w:p>
    <w:p>
      <w:pPr>
        <w:pStyle w:val="Heading2"/>
      </w:pPr>
      <w:r>
        <w:t>13.3 LIVE go/no-go criteria</w:t>
      </w:r>
    </w:p>
    <w:p>
      <w:pPr>
        <w:pStyle w:val="ListBullet"/>
        <w:spacing w:after="40"/>
      </w:pPr>
      <w:r>
        <w:t>All critical decision-register items required by LIVE are closed.</w:t>
      </w:r>
    </w:p>
    <w:p>
      <w:pPr>
        <w:pStyle w:val="ListBullet"/>
        <w:spacing w:after="40"/>
      </w:pPr>
      <w:r>
        <w:t>UAT business sign-off and technical evidence are complete.</w:t>
      </w:r>
    </w:p>
    <w:p>
      <w:pPr>
        <w:pStyle w:val="ListBullet"/>
        <w:spacing w:after="40"/>
      </w:pPr>
      <w:r>
        <w:t>Approved schema/metadata plans, compatibility review and recovery plan are attached to the release.</w:t>
      </w:r>
    </w:p>
    <w:p>
      <w:pPr>
        <w:pStyle w:val="ListBullet"/>
        <w:spacing w:after="40"/>
      </w:pPr>
      <w:r>
        <w:t>LIVE credentials, DNS/TLS, registry pulls, monitoring and support ownership are confirmed.</w:t>
      </w:r>
    </w:p>
    <w:p>
      <w:pPr>
        <w:pStyle w:val="ListBullet"/>
        <w:spacing w:after="40"/>
      </w:pPr>
      <w:r>
        <w:t>Change approval and communications are complete.</w:t>
      </w:r>
    </w:p>
    <w:p>
      <w:pPr>
        <w:pStyle w:val="ListBullet"/>
        <w:spacing w:after="40"/>
      </w:pPr>
      <w:r>
        <w:t>Release can be stopped safely before application rollout if migrations fail.</w:t>
      </w:r>
    </w:p>
    <w:p>
      <w:pPr>
        <w:pStyle w:val="ListBullet"/>
        <w:spacing w:after="40"/>
      </w:pPr>
      <w:r>
        <w:t>Previous compatible application digests remain available and documented.</w:t>
      </w:r>
    </w:p>
    <w:p>
      <w:pPr>
        <w:pStyle w:val="Heading2"/>
      </w:pPr>
      <w:r>
        <w:t>13.4 Definition of done for the CI/CD implementation</w:t>
      </w:r>
    </w:p>
    <w:p>
      <w:pPr>
        <w:pStyle w:val="ListBullet"/>
        <w:spacing w:after="40"/>
      </w:pPr>
      <w:r>
        <w:t>A developer commit can produce one traceable release with immutable images and complete build evidence.</w:t>
      </w:r>
    </w:p>
    <w:p>
      <w:pPr>
        <w:pStyle w:val="ListBullet"/>
        <w:spacing w:after="40"/>
      </w:pPr>
      <w:r>
        <w:t>The same digests are promoted through QA, UAT and LIVE without rebuilding.</w:t>
      </w:r>
    </w:p>
    <w:p>
      <w:pPr>
        <w:pStyle w:val="ListBullet"/>
        <w:spacing w:after="40"/>
      </w:pPr>
      <w:r>
        <w:t>Schema and metadata are deployed through controlled, idempotent, auditable processes with no manual production promotion.</w:t>
      </w:r>
    </w:p>
    <w:p>
      <w:pPr>
        <w:pStyle w:val="ListBullet"/>
        <w:spacing w:after="40"/>
      </w:pPr>
      <w:r>
        <w:t>Kubernetes resources are source-controlled, least-privilege, observable and recoverable.</w:t>
      </w:r>
    </w:p>
    <w:p>
      <w:pPr>
        <w:pStyle w:val="ListBullet"/>
        <w:spacing w:after="40"/>
      </w:pPr>
      <w:r>
        <w:t>Critical business workflows, outbox publication and external integration paths are automatically verified.</w:t>
      </w:r>
    </w:p>
    <w:p>
      <w:pPr>
        <w:pStyle w:val="ListBullet"/>
        <w:spacing w:after="40"/>
      </w:pPr>
      <w:r>
        <w:t>Operations can detect, trace and recover common failures using documented runbooks and telemetry.</w:t>
      </w:r>
    </w:p>
    <w:p>
      <w:pPr>
        <w:pStyle w:val="Heading1"/>
      </w:pPr>
      <w:r>
        <w:t>14. Immediate plan of action</w:t>
      </w:r>
    </w:p>
    <w:p>
      <w:pPr>
        <w:spacing w:after="80"/>
        <w:ind w:left="317" w:hanging="259"/>
      </w:pPr>
      <w:r>
        <w:t>1. Hold a baseline review to confirm the authoritative Bitbucket repository, branch, commit and active R38 schema/SMigration sources.</w:t>
      </w:r>
    </w:p>
    <w:p>
      <w:pPr>
        <w:spacing w:after="80"/>
        <w:ind w:left="317" w:hanging="259"/>
      </w:pPr>
      <w:r>
        <w:t>2. Open the decision register with named owners and target closure dates; prioritise U01-U14 because they govern the initial build and QA deployment.</w:t>
      </w:r>
    </w:p>
    <w:p>
      <w:pPr>
        <w:spacing w:after="80"/>
        <w:ind w:left="317" w:hanging="259"/>
      </w:pPr>
      <w:r>
        <w:t>3. Complete source-secret remediation and rotation before any repository is connected to shared CI.</w:t>
      </w:r>
    </w:p>
    <w:p>
      <w:pPr>
        <w:spacing w:after="80"/>
        <w:ind w:left="317" w:hanging="259"/>
      </w:pPr>
      <w:r>
        <w:t>4. Produce the executable-component inventory and decide worker separation/concurrency.</w:t>
      </w:r>
    </w:p>
    <w:p>
      <w:pPr>
        <w:spacing w:after="80"/>
        <w:ind w:left="317" w:hanging="259"/>
      </w:pPr>
      <w:r>
        <w:t>5. Create one proof-of-concept API image and one worker image using Podman locally, preserving behaviour and correct .NET runtime versions.</w:t>
      </w:r>
    </w:p>
    <w:p>
      <w:pPr>
        <w:spacing w:after="80"/>
        <w:ind w:left="317" w:hanging="259"/>
      </w:pPr>
      <w:r>
        <w:t>6. Prove the self-hosted Bitbucket runner can reach the private registry, QA namespace, QA SQL target and Kafka platform using least-privilege identities.</w:t>
      </w:r>
    </w:p>
    <w:p>
      <w:pPr>
        <w:spacing w:after="80"/>
        <w:ind w:left="317" w:hanging="259"/>
      </w:pPr>
      <w:r>
        <w:t>7. Create the Kubernetes base/QA overlay and deploy a non-production smoke workload with probes, Service, EndpointSlice and Ingress verification.</w:t>
      </w:r>
    </w:p>
    <w:p>
      <w:pPr>
        <w:spacing w:after="80"/>
        <w:ind w:left="317" w:hanging="259"/>
      </w:pPr>
      <w:r>
        <w:t>8. Integrate the schema runner in ValidateOnly/WhatIf mode, then add controlled QA apply and verification.</w:t>
      </w:r>
    </w:p>
    <w:p>
      <w:pPr>
        <w:spacing w:after="80"/>
        <w:ind w:left="317" w:hanging="259"/>
      </w:pPr>
      <w:r>
        <w:t>9. Integrate the run-based metadata lifecycle with accepted selection and verification.</w:t>
      </w:r>
    </w:p>
    <w:p>
      <w:pPr>
        <w:spacing w:after="80"/>
        <w:ind w:left="317" w:hanging="259"/>
      </w:pPr>
      <w:r>
        <w:t>10. Add automated smoke, telemetry and release evidence; then proceed to UAT promotion rehearsal.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CCC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sz w:val="20"/>
              </w:rPr>
              <w:t xml:space="preserve">Do not start with: </w:t>
            </w:r>
            <w:r>
              <w:rPr>
                <w:rFonts w:ascii="Arial" w:hAnsi="Arial"/>
                <w:sz w:val="20"/>
              </w:rPr>
              <w:t>A broad rewrite, direct production database changes, copying the existing placeholder Kubernetes files, embedding secrets, running migrations during API startup, or scaling API replicas before hosted-worker concurrency is resolved.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A - Proposed release evidence pack</w:t>
      </w:r>
    </w:p>
    <w:p>
      <w:pPr>
        <w:pStyle w:val="ListBullet"/>
        <w:spacing w:after="40"/>
      </w:pPr>
      <w:r>
        <w:t>ReleaseId, Jira reference, Git commit and pull request.</w:t>
      </w:r>
    </w:p>
    <w:p>
      <w:pPr>
        <w:pStyle w:val="ListBullet"/>
        <w:spacing w:after="40"/>
      </w:pPr>
      <w:r>
        <w:t>Build logs, test results, architecture validation and security findings.</w:t>
      </w:r>
    </w:p>
    <w:p>
      <w:pPr>
        <w:pStyle w:val="ListBullet"/>
        <w:spacing w:after="40"/>
      </w:pPr>
      <w:r>
        <w:t>Image names, immutable digests, SBOM and scan/signing evidence.</w:t>
      </w:r>
    </w:p>
    <w:p>
      <w:pPr>
        <w:pStyle w:val="ListBullet"/>
        <w:spacing w:after="40"/>
      </w:pPr>
      <w:r>
        <w:t>Target environment and namespace.</w:t>
      </w:r>
    </w:p>
    <w:p>
      <w:pPr>
        <w:pStyle w:val="ListBullet"/>
        <w:spacing w:after="40"/>
      </w:pPr>
      <w:r>
        <w:t>Schema comparison plan, accepted items, runner version, run ID and verification.</w:t>
      </w:r>
    </w:p>
    <w:p>
      <w:pPr>
        <w:pStyle w:val="ListBullet"/>
        <w:spacing w:after="40"/>
      </w:pPr>
      <w:r>
        <w:t>Metadata run ID, selected/excluded items, acceptance, apply and verification.</w:t>
      </w:r>
    </w:p>
    <w:p>
      <w:pPr>
        <w:pStyle w:val="ListBullet"/>
        <w:spacing w:after="40"/>
      </w:pPr>
      <w:r>
        <w:t>Kubernetes manifest/overlay version and deployment result.</w:t>
      </w:r>
    </w:p>
    <w:p>
      <w:pPr>
        <w:pStyle w:val="ListBullet"/>
        <w:spacing w:after="40"/>
      </w:pPr>
      <w:r>
        <w:t>Smoke-test evidence: probes, Pods, Services, EndpointSlices, Ingress, API, SQL, outbox and integrations.</w:t>
      </w:r>
    </w:p>
    <w:p>
      <w:pPr>
        <w:pStyle w:val="ListBullet"/>
        <w:spacing w:after="40"/>
      </w:pPr>
      <w:r>
        <w:t>Approvals, release timestamps, monitoring links, exceptions and follow-up actions.</w:t>
      </w:r>
    </w:p>
    <w:p>
      <w:pPr>
        <w:pStyle w:val="Heading1"/>
      </w:pPr>
      <w:r>
        <w:t>Appendix B - Workshop evidence integrated</w:t>
      </w:r>
    </w:p>
    <w:p>
      <w:r>
        <w:t>The final plan incorporates the following confirmed workshop themes: Podman/Minikube variability and the reliability of Hyper-V for local Kubernetes; internal Service and EndpointSlice diagnosis; Ingress controller and port mapping; ConfigMap/Secret dependencies; stateless-first design and Longhorn/PVC operational risks; namespace-scoped pipeline credentials; private-registry image delivery; Prometheus/Alertmanager/Grafana/OpsMon monitoring; and the Detect-Triage-Trace-Recover-Learn operating method.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528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5976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Use in this plan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08-05 Kubernetes &amp; Core Systems Deep Dive</w:t>
            </w:r>
          </w:p>
        </w:tc>
        <w:tc>
          <w:tcPr>
            <w:tcW w:type="dxa" w:w="59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SOCOTEC platform, ownership, Bitbucket runner/private registry flow, RKE2/Rancher/Longhorn/Kafka/Airflow, monitoring and operational cadence.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08-05 Kubernetes Deployments, Ingress Troubleshooting and Security</w:t>
            </w:r>
          </w:p>
        </w:tc>
        <w:tc>
          <w:tcPr>
            <w:tcW w:type="dxa" w:w="59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ConfigMaps, Secrets, CreateContainerConfigError, Service/Ingress troubleshooting, RKE2 security, etcd and manifest authority.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08-06 Kubernetes DevOps - Networking, Storage and CI/CD</w:t>
            </w:r>
          </w:p>
        </w:tc>
        <w:tc>
          <w:tcPr>
            <w:tcW w:type="dxa" w:w="59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Podman/Hyper-V findings, selectors/labels, PVC persistence, namespace-scoped kubeconfig, private-registry delivery, statelessness and observability.</w:t>
            </w:r>
          </w:p>
        </w:tc>
      </w:tr>
      <w:tr>
        <w:tc>
          <w:tcPr>
            <w:tcW w:type="dxa" w:w="35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Prior CymBuild source and schema analysis in this project</w:t>
            </w:r>
          </w:p>
        </w:tc>
        <w:tc>
          <w:tcPr>
            <w:tcW w:type="dxa" w:w="59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Architecture invariants, schema/metadata deployment lifecycle, R38/R27 baseline, security findings, deployable project inventory and current placeholder deployment gaps.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C - Local developer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7056"/>
            <w:shd w:fill="1F4E7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Confirmed local standard</w:t>
            </w:r>
          </w:p>
        </w:tc>
      </w:tr>
      <w:tr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Container build/run</w:t>
            </w:r>
          </w:p>
        </w:tc>
        <w:tc>
          <w:tcPr>
            <w:tcW w:type="dxa" w:w="70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Podman Desktop / Podman.</w:t>
            </w:r>
          </w:p>
        </w:tc>
      </w:tr>
      <w:tr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Local Kubernetes</w:t>
            </w:r>
          </w:p>
        </w:tc>
        <w:tc>
          <w:tcPr>
            <w:tcW w:type="dxa" w:w="70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Hyper-V Minikube using the Default Switch and containerd.</w:t>
            </w:r>
          </w:p>
        </w:tc>
      </w:tr>
      <w:tr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Cluster sizing</w:t>
            </w:r>
          </w:p>
        </w:tc>
        <w:tc>
          <w:tcPr>
            <w:tcW w:type="dxa" w:w="70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4 CPUs, 4096 MB memory, 40 GB disk for the workshop baseline; CymBuild sizing must be measured.</w:t>
            </w:r>
          </w:p>
        </w:tc>
      </w:tr>
      <w:tr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Local addons</w:t>
            </w:r>
          </w:p>
        </w:tc>
        <w:tc>
          <w:tcPr>
            <w:tcW w:type="dxa" w:w="70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Ingress and Metrics Server.</w:t>
            </w:r>
          </w:p>
        </w:tc>
      </w:tr>
      <w:tr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Image transfer to Minikube</w:t>
            </w:r>
          </w:p>
        </w:tc>
        <w:tc>
          <w:tcPr>
            <w:tcW w:type="dxa" w:w="70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podman save to OCI archive, then minikube image load, or use an approved local registry workflow.</w:t>
            </w:r>
          </w:p>
        </w:tc>
      </w:tr>
      <w:tr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Troubleshooting</w:t>
            </w:r>
          </w:p>
        </w:tc>
        <w:tc>
          <w:tcPr>
            <w:tcW w:type="dxa" w:w="70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7F7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Prefer non-interactive kubectl exec commands in PowerShell where interactive TTY behaviour is unreliable.</w:t>
            </w:r>
          </w:p>
        </w:tc>
      </w:tr>
      <w:tr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Important boundary</w:t>
            </w:r>
          </w:p>
        </w:tc>
        <w:tc>
          <w:tcPr>
            <w:tcW w:type="dxa" w:w="705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Local Minikube is for development/training validation only; RKE2 shared environments remain the deployment target.</w:t>
            </w:r>
          </w:p>
        </w:tc>
      </w:tr>
    </w:tbl>
    <w:p>
      <w:pPr>
        <w:spacing w:after="20"/>
      </w:pPr>
    </w:p>
    <w:p/>
    <w:p>
      <w:pPr>
        <w:pStyle w:val="Small"/>
        <w:jc w:val="center"/>
      </w:pPr>
      <w:r>
        <w:rPr>
          <w:b/>
        </w:rPr>
        <w:t>End of proposed plan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04040"/>
        <w:sz w:val="16"/>
      </w:rPr>
      <w:t xml:space="preserve">Proposed plan - 6 August 2026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04040"/>
        <w:sz w:val="16"/>
      </w:rPr>
      <w:t>CymBuild - Final Proposed CI/CD and Kubernetes Delivery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 w:val="0"/>
      <w:i/>
      <w:iCs/>
      <w:color w:val="40404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ecutiveSummary">
    <w:name w:val="Executive Summary"/>
    <w:pPr>
      <w:spacing w:after="140" w:line="269" w:lineRule="auto"/>
    </w:pPr>
    <w:rPr>
      <w:rFonts w:ascii="Arial" w:hAnsi="Arial"/>
      <w:color w:val="404040"/>
      <w:sz w:val="22"/>
    </w:rPr>
  </w:style>
  <w:style w:type="paragraph" w:customStyle="1" w:styleId="Small">
    <w:name w:val="Small"/>
    <w:pPr>
      <w:spacing w:after="40"/>
    </w:pPr>
    <w:rPr>
      <w:rFonts w:ascii="Arial" w:hAnsi="Arial"/>
      <w:color w:val="404040"/>
      <w:sz w:val="16"/>
    </w:rPr>
  </w:style>
  <w:style w:type="paragraph" w:customStyle="1" w:styleId="Code">
    <w:name w:val="Code"/>
    <w:pPr>
      <w:spacing w:after="40"/>
      <w:ind w:left="288" w:right="288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