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rFonts w:ascii="Arial" w:hAnsi="Arial"/>
          <w:b/>
          <w:color w:val="1F4E79"/>
          <w:sz w:val="60"/>
        </w:rPr>
        <w:t>CymBuild</w:t>
      </w:r>
    </w:p>
    <w:p>
      <w:pPr>
        <w:jc w:val="center"/>
      </w:pPr>
      <w:r>
        <w:rPr>
          <w:rFonts w:ascii="Arial" w:hAnsi="Arial"/>
          <w:b/>
          <w:color w:val="2F75B5"/>
          <w:sz w:val="44"/>
        </w:rPr>
        <w:t>Final Proposed CI/CD and Kubernetes Delivery Plan</w:t>
      </w:r>
    </w:p>
    <w:p>
      <w:pPr>
        <w:jc w:val="center"/>
      </w:pPr>
      <w:r>
        <w:rPr>
          <w:rFonts w:ascii="Arial" w:hAnsi="Arial"/>
          <w:color w:val="404040"/>
          <w:sz w:val="24"/>
        </w:rPr>
        <w:t>Including confirmed decisions, provisional decisions, delivery phases, acceptance gates and open unknowns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9EAD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rial" w:hAnsi="Arial"/>
                <w:b w:val="0"/>
                <w:sz w:val="20"/>
              </w:rPr>
              <w:t>Document status: Proposed final plan, baseline-reconciled on 6 August 2026 against feature/SB_Kubenetes at commit 1b6061621b4c25731955979b0085a3e0928fdacb. Source identity is resolved; remaining infrastructure, deployment-evidence and runtime-decomposition unknowns are explicit.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376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128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3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Programme</w:t>
            </w:r>
          </w:p>
        </w:tc>
        <w:tc>
          <w:tcPr>
            <w:tcW w:type="dxa" w:w="71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CymBuild containerisation and CI/CD implementation</w:t>
            </w:r>
          </w:p>
        </w:tc>
      </w:tr>
      <w:tr>
        <w:tc>
          <w:tcPr>
            <w:tcW w:type="dxa" w:w="23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Architecture</w:t>
            </w:r>
          </w:p>
        </w:tc>
        <w:tc>
          <w:tcPr>
            <w:tcW w:type="dxa" w:w="71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Blazor PWA -&gt; FormHelper/API Client -&gt; gRPC API -&gt; EF -&gt; SQL Server</w:t>
            </w:r>
          </w:p>
        </w:tc>
      </w:tr>
      <w:tr>
        <w:tc>
          <w:tcPr>
            <w:tcW w:type="dxa" w:w="23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Logical environments</w:t>
            </w:r>
          </w:p>
        </w:tc>
        <w:tc>
          <w:tcPr>
            <w:tcW w:type="dxa" w:w="71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DEV -&gt; QA -&gt; UAT -&gt; LIVE</w:t>
            </w:r>
          </w:p>
        </w:tc>
      </w:tr>
      <w:tr>
        <w:tc>
          <w:tcPr>
            <w:tcW w:type="dxa" w:w="23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Physical mapping</w:t>
            </w:r>
          </w:p>
        </w:tc>
        <w:tc>
          <w:tcPr>
            <w:tcW w:type="dxa" w:w="71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Local workstation -&gt; shared platform DEV -&gt; UAT -&gt; LIVE</w:t>
            </w:r>
          </w:p>
        </w:tc>
      </w:tr>
      <w:tr>
        <w:tc>
          <w:tcPr>
            <w:tcW w:type="dxa" w:w="23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Delivery platform</w:t>
            </w:r>
          </w:p>
        </w:tc>
        <w:tc>
          <w:tcPr>
            <w:tcW w:type="dxa" w:w="71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Bitbucket Pipelines, private registry, Rancher-managed RKE2</w:t>
            </w:r>
          </w:p>
        </w:tc>
      </w:tr>
      <w:tr>
        <w:tc>
          <w:tcPr>
            <w:tcW w:type="dxa" w:w="23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Local development standard</w:t>
            </w:r>
          </w:p>
        </w:tc>
        <w:tc>
          <w:tcPr>
            <w:tcW w:type="dxa" w:w="71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Podman for image build/run; Hyper-V Minikube with containerd for Kubernetes validation</w:t>
            </w:r>
          </w:p>
        </w:tc>
      </w:tr>
      <w:tr>
        <w:tc>
          <w:tcPr>
            <w:tcW w:type="dxa" w:w="23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Prepared for</w:t>
            </w:r>
          </w:p>
        </w:tc>
        <w:tc>
          <w:tcPr>
            <w:tcW w:type="dxa" w:w="71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SOCOTEC Development, DevOps, Data Engineering, Platform Operations and release approvers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8"/>
              </w:rPr>
              <w:t>Source baseline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8"/>
              </w:rPr>
              <w:t>Bitbucket esgdevelopers/cymbuild_monorepo; feature/SB_Kubenetes; 1b6061621b4c25731955979b0085a3e0928fdacb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8"/>
              </w:rPr>
              <w:t>Schema position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8"/>
              </w:rPr>
              <w:t>R39 bootstrap/exclusions; R40 runner/constraints; last independently verified shared-environment baseline remains R27 unless newer evidence is supplied</w:t>
            </w:r>
          </w:p>
        </w:tc>
      </w:tr>
    </w:tbl>
    <w:p>
      <w:pPr>
        <w:spacing w:after="20"/>
      </w:pPr>
    </w:p>
    <w:p>
      <w:pPr>
        <w:pStyle w:val="Small"/>
        <w:jc w:val="center"/>
      </w:pPr>
      <w:r>
        <w:t>Prepared from the reconciled CymBuild 26.3 source baseline at feature/SB_Kubenetes / 1b6061621b4c25731955979b0085a3e0928fdacb, source-controlled schema, confirmed SOCOTEC platform information and Kubernetes/DevOps workshop transcripts dated 5-6 August 2026.</w:t>
      </w:r>
    </w:p>
    <w:p>
      <w:r>
        <w:br w:type="page"/>
      </w:r>
    </w:p>
    <w:p>
      <w:pPr>
        <w:pStyle w:val="Heading1"/>
      </w:pPr>
      <w:r>
        <w:t>Executive summary</w:t>
      </w:r>
    </w:p>
    <w:p>
      <w:pPr>
        <w:pStyle w:val="ExecutiveSummary"/>
      </w:pPr>
      <w:r>
        <w:t>CymBuild should move to a build-once, promote-the-same-immutable-artifacts delivery model. Application images, database schema changes and run-based metadata changes must be treated as one governed release, with deterministic validation, environment-specific configuration, approval gates and auditable outcomes.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rial" w:hAnsi="Arial"/>
                <w:b w:val="0"/>
                <w:sz w:val="20"/>
              </w:rPr>
              <w:t>Primary recommendation: Containerise the PWA, gRPC API and independently scalable workers; deploy them declaratively to RKE2; run schema and metadata deployment as controlled pipeline Jobs before application rollout; publish integration events through the existing outbox; call Sage only through the approved Sage Wrapper service; exclude the retained legacy Sage microservice projects from the current build/deployment scope; and prohibit manual production database or metadata promotion.</w:t>
            </w:r>
          </w:p>
        </w:tc>
      </w:tr>
    </w:tbl>
    <w:p>
      <w:pPr>
        <w:spacing w:after="20"/>
      </w:pPr>
    </w:p>
    <w:p>
      <w:pPr>
        <w:pStyle w:val="ListBullet"/>
        <w:spacing w:after="40"/>
      </w:pPr>
      <w:r>
        <w:rPr>
          <w:b/>
        </w:rPr>
        <w:t xml:space="preserve">Build once. </w:t>
      </w:r>
      <w:r>
        <w:t>Compile, test, scan and build each image once. Promote the same image digest from QA to UAT to LIVE; never rebuild per environment and never use latest.</w:t>
      </w:r>
    </w:p>
    <w:p>
      <w:pPr>
        <w:pStyle w:val="ListBullet"/>
        <w:spacing w:after="40"/>
      </w:pPr>
      <w:r>
        <w:rPr>
          <w:b/>
        </w:rPr>
        <w:t xml:space="preserve">Database first, but not at application startup. </w:t>
      </w:r>
      <w:r>
        <w:t>Apply idempotent source-controlled schema and metadata processes as pipeline stages or Kubernetes Jobs before rolling out dependent services.</w:t>
      </w:r>
    </w:p>
    <w:p>
      <w:pPr>
        <w:pStyle w:val="ListBullet"/>
        <w:spacing w:after="40"/>
      </w:pPr>
      <w:r>
        <w:rPr>
          <w:b/>
        </w:rPr>
        <w:t xml:space="preserve">Stateless by default. </w:t>
      </w:r>
      <w:r>
        <w:t>Do not give application Pods persistent volumes for convenience. Use SQL Server or an approved external store for durable application state; reserve Longhorn or external shares for workloads that genuinely require persistence.</w:t>
      </w:r>
    </w:p>
    <w:p>
      <w:pPr>
        <w:pStyle w:val="ListBullet"/>
        <w:spacing w:after="40"/>
      </w:pPr>
      <w:r>
        <w:rPr>
          <w:b/>
        </w:rPr>
        <w:t xml:space="preserve">Least privilege. </w:t>
      </w:r>
      <w:r>
        <w:t>Use namespace-scoped ServiceAccounts and pipeline credentials, controlled image pull credentials, externalised Secrets, NetworkPolicies and environment-specific access boundaries.</w:t>
      </w:r>
    </w:p>
    <w:p>
      <w:pPr>
        <w:pStyle w:val="ListBullet"/>
        <w:spacing w:after="40"/>
      </w:pPr>
      <w:r>
        <w:rPr>
          <w:b/>
        </w:rPr>
        <w:t xml:space="preserve">Observable by design. </w:t>
      </w:r>
      <w:r>
        <w:t>Publish platform and application metrics, structured logs and traces into the established Prometheus/Grafana/Alertmanager/Loki/OpenTelemetry landscape, with clear ownership of alerts.</w:t>
      </w:r>
    </w:p>
    <w:p>
      <w:pPr>
        <w:pStyle w:val="ListBullet"/>
        <w:spacing w:after="40"/>
      </w:pPr>
      <w:r>
        <w:rPr>
          <w:b/>
        </w:rPr>
        <w:t xml:space="preserve">Troubleshoot by tracing the full path. </w:t>
      </w:r>
      <w:r>
        <w:t>Adopt Detect -&gt; Triage -&gt; Trace -&gt; Recover -&gt; Learn and validate each dependency: image, configuration, Pod readiness, Service selector, EndpointSlice, Ingress, external load balancer/DNS, database, workflow, outbox and integrations.</w:t>
      </w:r>
    </w:p>
    <w:p>
      <w:pPr>
        <w:pStyle w:val="Heading2"/>
      </w:pPr>
      <w:r>
        <w:t>Outcome of this plan</w:t>
      </w:r>
    </w:p>
    <w:p>
      <w:r>
        <w:t>The plan does not pretend that every infrastructure choice has already been confirmed. It separates confirmed requirements from provisional implementation choices and contains a decision register. Work may begin immediately on source hygiene, project classification, test hardening and container build prototypes, while environment-specific deployment work is gated by closure of the relevant unknowns.</w:t>
      </w:r>
    </w:p>
    <w:p>
      <w:pPr>
        <w:pStyle w:val="Heading1"/>
      </w:pPr>
      <w:r>
        <w:t>1. Confirmed baseline and non-negotiable constraints</w:t>
      </w:r>
    </w:p>
    <w:p>
      <w:pPr>
        <w:pStyle w:val="Heading2"/>
      </w:pPr>
      <w:r>
        <w:t>1.1 CymBuild architectural boundary</w:t>
      </w:r>
    </w:p>
    <w:p>
      <w:pPr>
        <w:pStyle w:val="ListBullet"/>
        <w:spacing w:after="40"/>
      </w:pPr>
      <w:r>
        <w:t>Blazor PWA (Concursus_PWA) calls API_Client/FormHelper; it must not call SQL, external services or arbitrary APIs directly.</w:t>
      </w:r>
    </w:p>
    <w:p>
      <w:pPr>
        <w:pStyle w:val="ListBullet"/>
        <w:spacing w:after="40"/>
      </w:pPr>
      <w:r>
        <w:t>FormHelper/API Client calls the gRPC API (Concursus_API).</w:t>
      </w:r>
    </w:p>
    <w:p>
      <w:pPr>
        <w:pStyle w:val="ListBullet"/>
        <w:spacing w:after="40"/>
      </w:pPr>
      <w:r>
        <w:t>The gRPC API coordinates business behaviour and calls EF/repository components.</w:t>
      </w:r>
    </w:p>
    <w:p>
      <w:pPr>
        <w:pStyle w:val="ListBullet"/>
        <w:spacing w:after="40"/>
      </w:pPr>
      <w:r>
        <w:t>EF persists to SQL Server.</w:t>
      </w:r>
    </w:p>
    <w:p>
      <w:pPr>
        <w:pStyle w:val="ListBullet"/>
        <w:spacing w:after="40"/>
      </w:pPr>
      <w:r>
        <w:t>Business logic must not be placed in Razor/UI components.</w:t>
      </w:r>
    </w:p>
    <w:p>
      <w:pPr>
        <w:pStyle w:val="ListBullet"/>
        <w:spacing w:after="40"/>
      </w:pPr>
      <w:r>
        <w:t>Existing architectural bypasses identified in prior source analysis must be classified and corrected without behaviour loss.</w:t>
      </w:r>
    </w:p>
    <w:p>
      <w:pPr>
        <w:pStyle w:val="Heading2"/>
      </w:pPr>
      <w:r>
        <w:t>1.2 Identity, workflow and event invariants</w:t>
      </w:r>
    </w:p>
    <w:p>
      <w:pPr>
        <w:pStyle w:val="ListBullet"/>
        <w:spacing w:after="40"/>
      </w:pPr>
      <w:r>
        <w:t>Every major entity insert must atomically create the matching SCore.DataObjects row with its Guid, EntityTypeId, RowStatus and concurrency values.</w:t>
      </w:r>
    </w:p>
    <w:p>
      <w:pPr>
        <w:pStyle w:val="ListBullet"/>
        <w:spacing w:after="40"/>
      </w:pPr>
      <w:r>
        <w:t>Insert-then-update identity patterns are prohibited.</w:t>
      </w:r>
    </w:p>
    <w:p>
      <w:pPr>
        <w:pStyle w:val="ListBullet"/>
        <w:spacing w:after="40"/>
      </w:pPr>
      <w:r>
        <w:t>Business status must never be updated directly. Use SCore.DataObjectTransitionUpsert; the latest transition is the current state.</w:t>
      </w:r>
    </w:p>
    <w:p>
      <w:pPr>
        <w:pStyle w:val="ListBullet"/>
        <w:spacing w:after="40"/>
      </w:pPr>
      <w:r>
        <w:t>All integration events must be written through SCore.IntegrationOutbox and published by controlled workers.</w:t>
      </w:r>
    </w:p>
    <w:p>
      <w:pPr>
        <w:pStyle w:val="ListBullet"/>
        <w:spacing w:after="40"/>
      </w:pPr>
      <w:r>
        <w:t>CymBuild must never call Sage directly. The active external integration boundary is the approved Sage Wrapper service. The retained Sage200Microservice and SageAPI_TEMP_DISABLED source is excluded from the current build, image and deployment scope unless a later approved decision reactivates it.</w:t>
      </w:r>
    </w:p>
    <w:p>
      <w:pPr>
        <w:pStyle w:val="ListBullet"/>
        <w:spacing w:after="40"/>
      </w:pPr>
      <w:r>
        <w:t>Automation, including invoice automation, must be idempotent, retry-safe and auditable.</w:t>
      </w:r>
    </w:p>
    <w:p>
      <w:pPr>
        <w:pStyle w:val="Heading2"/>
      </w:pPr>
      <w:r>
        <w:t>1.3 Code-first deployment authority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800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3384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Authoritative source</w:t>
            </w:r>
          </w:p>
        </w:tc>
        <w:tc>
          <w:tcPr>
            <w:tcW w:type="dxa" w:w="4320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Deployment rule</w:t>
            </w:r>
          </w:p>
        </w:tc>
      </w:tr>
      <w:tr>
        <w:tc>
          <w:tcPr>
            <w:tcW w:type="dxa" w:w="180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Database schema</w:t>
            </w:r>
          </w:p>
        </w:tc>
        <w:tc>
          <w:tcPr>
            <w:tcW w:type="dxa" w:w="33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Source-controlled idempotent SQL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Database is a deployment target only; no manual promotion or direct production fixes.</w:t>
            </w:r>
          </w:p>
        </w:tc>
      </w:tr>
      <w:tr>
        <w:tc>
          <w:tcPr>
            <w:tcW w:type="dxa" w:w="180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Metadata</w:t>
            </w:r>
          </w:p>
        </w:tc>
        <w:tc>
          <w:tcPr>
            <w:tcW w:type="dxa" w:w="33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Source-controlled SQL/UI run-based SMigration process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Validate, select, accept, apply and verify through the governed run lifecycle; legacy manifests are not the active deployment mechanism.</w:t>
            </w:r>
          </w:p>
        </w:tc>
      </w:tr>
      <w:tr>
        <w:tc>
          <w:tcPr>
            <w:tcW w:type="dxa" w:w="180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Application deployment</w:t>
            </w:r>
          </w:p>
        </w:tc>
        <w:tc>
          <w:tcPr>
            <w:tcW w:type="dxa" w:w="33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Source-controlled Kubernetes packaging and pipeline definitions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No durable manual kubectl/Rancher changes. Emergency changes must be backfilled into source immediately.</w:t>
            </w:r>
          </w:p>
        </w:tc>
      </w:tr>
      <w:tr>
        <w:tc>
          <w:tcPr>
            <w:tcW w:type="dxa" w:w="180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Configuration</w:t>
            </w:r>
          </w:p>
        </w:tc>
        <w:tc>
          <w:tcPr>
            <w:tcW w:type="dxa" w:w="33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Environment variables, ConfigMaps and approved secret store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No environment secrets or environment-specific values embedded in images or source.</w:t>
            </w:r>
          </w:p>
        </w:tc>
      </w:tr>
    </w:tbl>
    <w:p>
      <w:pPr>
        <w:spacing w:after="20"/>
      </w:pPr>
    </w:p>
    <w:p>
      <w:pPr>
        <w:pStyle w:val="Heading2"/>
      </w:pPr>
      <w:r>
        <w:t>1.4 SQL deployment guardrails</w:t>
      </w:r>
    </w:p>
    <w:p>
      <w:pPr>
        <w:pStyle w:val="ListBullet"/>
        <w:spacing w:after="40"/>
      </w:pPr>
      <w:r>
        <w:t>SQL Server only; schema-qualified objects; explicit column lists; no SELECT *.</w:t>
      </w:r>
    </w:p>
    <w:p>
      <w:pPr>
        <w:pStyle w:val="ListBullet"/>
        <w:spacing w:after="40"/>
      </w:pPr>
      <w:r>
        <w:t>Idempotent, deployment-safe SQL with deterministic behaviour, transactions and TRY/CATCH where appropriate.</w:t>
      </w:r>
    </w:p>
    <w:p>
      <w:pPr>
        <w:pStyle w:val="ListBullet"/>
        <w:spacing w:after="40"/>
      </w:pPr>
      <w:r>
        <w:t>Filtered indexes must use the exact predicate WHERE [RowStatus] &lt;&gt; 0 AND [RowStatus] &lt;&gt; 254.</w:t>
      </w:r>
    </w:p>
    <w:p>
      <w:pPr>
        <w:pStyle w:val="ListBullet"/>
        <w:spacing w:after="40"/>
      </w:pPr>
      <w:r>
        <w:t>Schema and metadata changes must preserve DataObjects and workflow invariants.</w:t>
      </w:r>
    </w:p>
    <w:p>
      <w:pPr>
        <w:pStyle w:val="ListBullet"/>
        <w:spacing w:after="40"/>
      </w:pPr>
      <w:r>
        <w:t>No destructive changes unless specifically requested, reviewed and approved.</w:t>
      </w:r>
    </w:p>
    <w:p>
      <w:pPr>
        <w:pStyle w:val="Heading2"/>
      </w:pPr>
      <w:r>
        <w:t>1.5 Established environment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656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CymBuild environment</w:t>
            </w:r>
          </w:p>
        </w:tc>
        <w:tc>
          <w:tcPr>
            <w:tcW w:type="dxa" w:w="2592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Physical platform</w:t>
            </w:r>
          </w:p>
        </w:tc>
        <w:tc>
          <w:tcPr>
            <w:tcW w:type="dxa" w:w="2376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Cluster / location</w:t>
            </w:r>
          </w:p>
        </w:tc>
        <w:tc>
          <w:tcPr>
            <w:tcW w:type="dxa" w:w="3240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Release behaviour</w:t>
            </w:r>
          </w:p>
        </w:tc>
      </w:tr>
      <w:tr>
        <w:tc>
          <w:tcPr>
            <w:tcW w:type="dxa" w:w="165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DEV</w:t>
            </w:r>
          </w:p>
        </w:tc>
        <w:tc>
          <w:tcPr>
            <w:tcW w:type="dxa" w:w="259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Stephen's local development workstation</w:t>
            </w:r>
          </w:p>
        </w:tc>
        <w:tc>
          <w:tcPr>
            <w:tcW w:type="dxa" w:w="23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Podman plus Hyper-V Minikube/containerd</w:t>
            </w:r>
          </w:p>
        </w:tc>
        <w:tc>
          <w:tcPr>
            <w:tcW w:type="dxa" w:w="32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Development, local build, diagnostics and pre-pipeline verification.</w:t>
            </w:r>
          </w:p>
        </w:tc>
      </w:tr>
      <w:tr>
        <w:tc>
          <w:tcPr>
            <w:tcW w:type="dxa" w:w="165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QA</w:t>
            </w:r>
          </w:p>
        </w:tc>
        <w:tc>
          <w:tcPr>
            <w:tcW w:type="dxa" w:w="259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Shared platform DEV</w:t>
            </w:r>
          </w:p>
        </w:tc>
        <w:tc>
          <w:tcPr>
            <w:tcW w:type="dxa" w:w="23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Rancher soc-rke2-c0</w:t>
            </w:r>
          </w:p>
        </w:tc>
        <w:tc>
          <w:tcPr>
            <w:tcW w:type="dxa" w:w="32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Automatic deployment after protected branch/pipeline gates, subject to final policy confirmation.</w:t>
            </w:r>
          </w:p>
        </w:tc>
      </w:tr>
      <w:tr>
        <w:tc>
          <w:tcPr>
            <w:tcW w:type="dxa" w:w="165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UAT</w:t>
            </w:r>
          </w:p>
        </w:tc>
        <w:tc>
          <w:tcPr>
            <w:tcW w:type="dxa" w:w="259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Shared UAT platform</w:t>
            </w:r>
          </w:p>
        </w:tc>
        <w:tc>
          <w:tcPr>
            <w:tcW w:type="dxa" w:w="23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Rancher soc-rke2-c2</w:t>
            </w:r>
          </w:p>
        </w:tc>
        <w:tc>
          <w:tcPr>
            <w:tcW w:type="dxa" w:w="32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Promotion of the same digests after manual approval and successful QA evidence.</w:t>
            </w:r>
          </w:p>
        </w:tc>
      </w:tr>
      <w:tr>
        <w:tc>
          <w:tcPr>
            <w:tcW w:type="dxa" w:w="165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LIVE</w:t>
            </w:r>
          </w:p>
        </w:tc>
        <w:tc>
          <w:tcPr>
            <w:tcW w:type="dxa" w:w="259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Shared production platform</w:t>
            </w:r>
          </w:p>
        </w:tc>
        <w:tc>
          <w:tcPr>
            <w:tcW w:type="dxa" w:w="23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Rancher soc-rke2-c1</w:t>
            </w:r>
          </w:p>
        </w:tc>
        <w:tc>
          <w:tcPr>
            <w:tcW w:type="dxa" w:w="32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Restricted approval, change controls and promotion of the same tested digests.</w:t>
            </w:r>
          </w:p>
        </w:tc>
      </w:tr>
    </w:tbl>
    <w:p>
      <w:pPr>
        <w:spacing w:after="20"/>
      </w:pPr>
    </w:p>
    <w:p>
      <w:pPr>
        <w:pStyle w:val="Heading2"/>
      </w:pPr>
      <w:r>
        <w:t>1.6 Current repository and release baseline</w:t>
      </w:r>
    </w:p>
    <w:p>
      <w:pPr>
        <w:pStyle w:val="ListBullet"/>
        <w:spacing w:after="40"/>
      </w:pPr>
      <w:r>
        <w:t>The authoritative source baseline is the Bitbucket repository https://bitbucket.org/esgdevelopers/cymbuild_monorepo.git, branch feature/SB_Kubenetes, commit 1b6061621b4c25731955979b0085a3e0928fdacb. The supplied source archive is supporting inspection evidence and does not replace the Git identity.</w:t>
      </w:r>
    </w:p>
    <w:p>
      <w:pPr>
        <w:pStyle w:val="ListBullet"/>
        <w:spacing w:after="40"/>
      </w:pPr>
      <w:r>
        <w:t>The current source-controlled bootstrap/exclusion runner is CYB-361 R39 and the schema deployment runner is CYB-361 R40. The last independently verified shared-environment baseline remains CymBuild 26.3 / CYB-361 R27 unless newer deployment evidence is supplied. R39/R40 source presence is not deployment proof, and historical run Guids are audit evidence only and must never be reused.</w:t>
      </w:r>
    </w:p>
    <w:p>
      <w:pPr>
        <w:pStyle w:val="ListBullet"/>
        <w:spacing w:after="40"/>
      </w:pPr>
      <w:r>
        <w:t>Core projects currently span .NET 10 and .NET 9 targets; the exact supported production runtime matrix must be confirmed before final Docker base images are locked.</w:t>
      </w:r>
    </w:p>
    <w:p>
      <w:pPr>
        <w:pStyle w:val="ListBullet"/>
        <w:spacing w:after="40"/>
      </w:pPr>
      <w:r>
        <w:t>Existing container and Kubernetes files are placeholders and are not production-ready: they contain wrong runtime assumptions, latest tags, embedded secrets, incomplete service definitions and unsafe hosting assumptions.</w:t>
      </w:r>
    </w:p>
    <w:p>
      <w:pPr>
        <w:pStyle w:val="ListBullet"/>
        <w:spacing w:after="40"/>
      </w:pPr>
      <w:r>
        <w:t>The source archive previously showed secret material, client-side secrets, certificates and generated output that must be removed or rotated before pipeline onboarding.</w:t>
      </w:r>
    </w:p>
    <w:p>
      <w:pPr>
        <w:pStyle w:val="Heading1"/>
      </w:pPr>
      <w:r>
        <w:t>2. Workshop learning incorporated into the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4536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Workshop lesson</w:t>
            </w:r>
          </w:p>
        </w:tc>
        <w:tc>
          <w:tcPr>
            <w:tcW w:type="dxa" w:w="4968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CymBuild design consequence</w:t>
            </w:r>
          </w:p>
        </w:tc>
      </w:tr>
      <w:tr>
        <w:tc>
          <w:tcPr>
            <w:tcW w:type="dxa" w:w="453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 Deployment can apply successfully while Pods fail because ConfigMaps or Secrets are missing or contain the wrong key.</w:t>
            </w:r>
          </w:p>
        </w:tc>
        <w:tc>
          <w:tcPr>
            <w:tcW w:type="dxa" w:w="49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Pre-deployment validation must verify every referenced ConfigMap, Secret name/key and imagePullSecret before rollout. CreateContainerConfigError is a configuration dependency failure, not an application crash.</w:t>
            </w:r>
          </w:p>
        </w:tc>
      </w:tr>
      <w:tr>
        <w:tc>
          <w:tcPr>
            <w:tcW w:type="dxa" w:w="453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Healthy Pods do not guarantee a working Service; selectors must match Pod labels and EndpointSlices must be populated.</w:t>
            </w:r>
          </w:p>
        </w:tc>
        <w:tc>
          <w:tcPr>
            <w:tcW w:type="dxa" w:w="49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Smoke tests must inspect labels, Services and EndpointSlices and perform an in-cluster request through a diagnostic client.</w:t>
            </w:r>
          </w:p>
        </w:tc>
      </w:tr>
      <w:tr>
        <w:tc>
          <w:tcPr>
            <w:tcW w:type="dxa" w:w="453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Ingress routes to a Service port, while Service targetPort routes to the Pod port.</w:t>
            </w:r>
          </w:p>
        </w:tc>
        <w:tc>
          <w:tcPr>
            <w:tcW w:type="dxa" w:w="49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Manifest validation and smoke tests must validate the full route: external hostname/path -&gt; Ingress -&gt; Service port -&gt; targetPort -&gt; ready Pod.</w:t>
            </w:r>
          </w:p>
        </w:tc>
      </w:tr>
      <w:tr>
        <w:tc>
          <w:tcPr>
            <w:tcW w:type="dxa" w:w="453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Readiness failures correctly remove Pods from Service traffic.</w:t>
            </w:r>
          </w:p>
        </w:tc>
        <w:tc>
          <w:tcPr>
            <w:tcW w:type="dxa" w:w="49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Every network service needs meaningful readiness/startup/liveness probes; rollout success must require ready endpoints, not merely Running containers.</w:t>
            </w:r>
          </w:p>
        </w:tc>
      </w:tr>
      <w:tr>
        <w:tc>
          <w:tcPr>
            <w:tcW w:type="dxa" w:w="453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Pods are ephemeral; PVCs preserve data. Longhorn problems often surface as application instability.</w:t>
            </w:r>
          </w:p>
        </w:tc>
        <w:tc>
          <w:tcPr>
            <w:tcW w:type="dxa" w:w="49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Use persistent storage only where required; monitor PVC binding, attachment and Longhorn health before blaming application code.</w:t>
            </w:r>
          </w:p>
        </w:tc>
      </w:tr>
      <w:tr>
        <w:tc>
          <w:tcPr>
            <w:tcW w:type="dxa" w:w="453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Kubeconfig and pipeline identities must be namespace-scoped.</w:t>
            </w:r>
          </w:p>
        </w:tc>
        <w:tc>
          <w:tcPr>
            <w:tcW w:type="dxa" w:w="49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Each environment pipeline receives a dedicated least-privilege ServiceAccount/credential limited to the CymBuild namespace and permitted resource types.</w:t>
            </w:r>
          </w:p>
        </w:tc>
      </w:tr>
      <w:tr>
        <w:tc>
          <w:tcPr>
            <w:tcW w:type="dxa" w:w="453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Prometheus rules feed Alertmanager; Grafana/Loki/OpsMon serve different scopes.</w:t>
            </w:r>
          </w:p>
        </w:tc>
        <w:tc>
          <w:tcPr>
            <w:tcW w:type="dxa" w:w="49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Define application dashboards and alert ownership, use cluster monitoring for Kubernetes workloads and OpsMon for external dependencies where applicable.</w:t>
            </w:r>
          </w:p>
        </w:tc>
      </w:tr>
      <w:tr>
        <w:tc>
          <w:tcPr>
            <w:tcW w:type="dxa" w:w="453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Operational troubleshooting should trace each dependency and document learning.</w:t>
            </w:r>
          </w:p>
        </w:tc>
        <w:tc>
          <w:tcPr>
            <w:tcW w:type="dxa" w:w="49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Adopt Detect -&gt; Triage -&gt; Trace -&gt; Recover -&gt; Learn as the release and incident runbook.</w:t>
            </w:r>
          </w:p>
        </w:tc>
      </w:tr>
    </w:tbl>
    <w:p>
      <w:pPr>
        <w:spacing w:after="20"/>
      </w:pPr>
    </w:p>
    <w:p>
      <w:pPr>
        <w:pStyle w:val="Heading1"/>
      </w:pPr>
      <w:r>
        <w:t>3. Target deployable architecture</w:t>
      </w:r>
    </w:p>
    <w:p>
      <w:pPr>
        <w:pStyle w:val="Heading2"/>
      </w:pPr>
      <w:r>
        <w:t>3.1 Containerised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088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Component class</w:t>
            </w:r>
          </w:p>
        </w:tc>
        <w:tc>
          <w:tcPr>
            <w:tcW w:type="dxa" w:w="3672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Proposed deployment form</w:t>
            </w:r>
          </w:p>
        </w:tc>
        <w:tc>
          <w:tcPr>
            <w:tcW w:type="dxa" w:w="3744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Key rule</w:t>
            </w:r>
          </w:p>
        </w:tc>
      </w:tr>
      <w:tr>
        <w:tc>
          <w:tcPr>
            <w:tcW w:type="dxa" w:w="20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PWA</w:t>
            </w:r>
          </w:p>
        </w:tc>
        <w:tc>
          <w:tcPr>
            <w:tcW w:type="dxa" w:w="36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Dedicated web/static hosting container or approved static hosting pattern</w:t>
            </w:r>
          </w:p>
        </w:tc>
        <w:tc>
          <w:tcPr>
            <w:tcW w:type="dxa" w:w="37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The Blazor PWA remains presentation-only and calls FormHelper/API Client; authentication callback and cache behaviour must be validated.</w:t>
            </w:r>
          </w:p>
        </w:tc>
      </w:tr>
      <w:tr>
        <w:tc>
          <w:tcPr>
            <w:tcW w:type="dxa" w:w="20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gRPC API</w:t>
            </w:r>
          </w:p>
        </w:tc>
        <w:tc>
          <w:tcPr>
            <w:tcW w:type="dxa" w:w="36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Kubernetes Deployment and ClusterIP Service</w:t>
            </w:r>
          </w:p>
        </w:tc>
        <w:tc>
          <w:tcPr>
            <w:tcW w:type="dxa" w:w="37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No hosted background workers should remain in every API replica unless proven safe and intentionally designed.</w:t>
            </w:r>
          </w:p>
        </w:tc>
      </w:tr>
      <w:tr>
        <w:tc>
          <w:tcPr>
            <w:tcW w:type="dxa" w:w="20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Outbox publisher</w:t>
            </w:r>
          </w:p>
        </w:tc>
        <w:tc>
          <w:tcPr>
            <w:tcW w:type="dxa" w:w="36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Independent Deployment</w:t>
            </w:r>
          </w:p>
        </w:tc>
        <w:tc>
          <w:tcPr>
            <w:tcW w:type="dxa" w:w="37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Idempotent publication, bounded retries, dead-letter/operational visibility and Kafka authentication/ACLs.</w:t>
            </w:r>
          </w:p>
        </w:tc>
      </w:tr>
      <w:tr>
        <w:tc>
          <w:tcPr>
            <w:tcW w:type="dxa" w:w="20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Invoice automation</w:t>
            </w:r>
          </w:p>
        </w:tc>
        <w:tc>
          <w:tcPr>
            <w:tcW w:type="dxa" w:w="36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Independent worker Deployment</w:t>
            </w:r>
          </w:p>
        </w:tc>
        <w:tc>
          <w:tcPr>
            <w:tcW w:type="dxa" w:w="37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Idempotent trigger-instance ledger and DataObjects/workflow compliance.</w:t>
            </w:r>
          </w:p>
        </w:tc>
      </w:tr>
      <w:tr>
        <w:tc>
          <w:tcPr>
            <w:tcW w:type="dxa" w:w="20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CymBuild Sage submission processing</w:t>
            </w:r>
          </w:p>
        </w:tc>
        <w:tc>
          <w:tcPr>
            <w:tcW w:type="dxa" w:w="36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Independent worker Deployment or explicitly concurrency-safe worker boundary</w:t>
            </w:r>
          </w:p>
        </w:tc>
        <w:tc>
          <w:tcPr>
            <w:tcW w:type="dxa" w:w="37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rial" w:hAnsi="Arial"/>
                <w:b w:val="0"/>
                <w:sz w:val="17"/>
              </w:rPr>
              <w:t>Builds/validates idempotent submissions and calls only the approved Sage Wrapper; never Sage directly.</w:t>
            </w:r>
          </w:p>
        </w:tc>
      </w:tr>
      <w:tr>
        <w:tc>
          <w:tcPr>
            <w:tcW w:type="dxa" w:w="20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Other hosted workers</w:t>
            </w:r>
          </w:p>
        </w:tc>
        <w:tc>
          <w:tcPr>
            <w:tcW w:type="dxa" w:w="36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Classify and separate when singleton, long-running or independently scalable</w:t>
            </w:r>
          </w:p>
        </w:tc>
        <w:tc>
          <w:tcPr>
            <w:tcW w:type="dxa" w:w="37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Share the API process only when concurrency, lifecycle and scaling behaviour are explicitly safe.</w:t>
            </w:r>
          </w:p>
        </w:tc>
      </w:tr>
      <w:tr>
        <w:tc>
          <w:tcPr>
            <w:tcW w:type="dxa" w:w="20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Schema deployment tool</w:t>
            </w:r>
          </w:p>
        </w:tc>
        <w:tc>
          <w:tcPr>
            <w:tcW w:type="dxa" w:w="36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Pipeline step or short-lived Kubernetes Job</w:t>
            </w:r>
          </w:p>
        </w:tc>
        <w:tc>
          <w:tcPr>
            <w:tcW w:type="dxa" w:w="37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Runs before application rollout; never on API startup.</w:t>
            </w:r>
          </w:p>
        </w:tc>
      </w:tr>
      <w:tr>
        <w:tc>
          <w:tcPr>
            <w:tcW w:type="dxa" w:w="20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Metadata deployment tool</w:t>
            </w:r>
          </w:p>
        </w:tc>
        <w:tc>
          <w:tcPr>
            <w:tcW w:type="dxa" w:w="36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Pipeline step or short-lived Kubernetes Job</w:t>
            </w:r>
          </w:p>
        </w:tc>
        <w:tc>
          <w:tcPr>
            <w:tcW w:type="dxa" w:w="37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Uses the current run-based SMigration lifecycle with validation, accepted selection, apply and verify.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Arial" w:hAnsi="Arial"/>
                <w:b w:val="0"/>
                <w:sz w:val="16"/>
              </w:rPr>
              <w:t>Sage Wrapper service</w:t>
            </w:r>
          </w:p>
        </w:tc>
        <w:tc>
          <w:tcPr>
            <w:tcW w:type="dxa" w:w="3408"/>
          </w:tcPr>
          <w:p>
            <w:r/>
            <w:r>
              <w:rPr>
                <w:rFonts w:ascii="Arial" w:hAnsi="Arial"/>
                <w:b w:val="0"/>
                <w:sz w:val="16"/>
              </w:rPr>
              <w:t>External controlled service dependency</w:t>
            </w:r>
          </w:p>
        </w:tc>
        <w:tc>
          <w:tcPr>
            <w:tcW w:type="dxa" w:w="3408"/>
          </w:tcPr>
          <w:p>
            <w:r/>
            <w:r>
              <w:rPr>
                <w:rFonts w:ascii="Arial" w:hAnsi="Arial"/>
                <w:b w:val="0"/>
                <w:sz w:val="16"/>
              </w:rPr>
              <w:t>Active Sage-facing boundary. Do not include it in CymBuild deployment until ownership and source-control responsibility are formally confirmed.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Arial" w:hAnsi="Arial"/>
                <w:b w:val="0"/>
                <w:sz w:val="16"/>
              </w:rPr>
              <w:t>Legacy Sage200Microservice / SageAPI_TEMP_DISABLED</w:t>
            </w:r>
          </w:p>
        </w:tc>
        <w:tc>
          <w:tcPr>
            <w:tcW w:type="dxa" w:w="3408"/>
          </w:tcPr>
          <w:p>
            <w:r/>
            <w:r>
              <w:rPr>
                <w:rFonts w:ascii="Arial" w:hAnsi="Arial"/>
                <w:b w:val="0"/>
                <w:sz w:val="16"/>
              </w:rPr>
              <w:t>Retained source; not deployed</w:t>
            </w:r>
          </w:p>
        </w:tc>
        <w:tc>
          <w:tcPr>
            <w:tcW w:type="dxa" w:w="3408"/>
          </w:tcPr>
          <w:p>
            <w:r/>
            <w:r>
              <w:rPr>
                <w:rFonts w:ascii="Arial" w:hAnsi="Arial"/>
                <w:b w:val="0"/>
                <w:sz w:val="16"/>
              </w:rPr>
              <w:t>Exclude from solution build matrix, container images, Kubernetes manifests and environment rollout for this phase.</w:t>
            </w:r>
          </w:p>
        </w:tc>
      </w:tr>
    </w:tbl>
    <w:p>
      <w:pPr>
        <w:spacing w:after="20"/>
      </w:pPr>
    </w:p>
    <w:p>
      <w:pPr>
        <w:pStyle w:val="Heading2"/>
      </w:pPr>
      <w:r>
        <w:t>3.2 External platform dependencies</w:t>
      </w:r>
    </w:p>
    <w:p>
      <w:pPr>
        <w:pStyle w:val="ListBullet"/>
        <w:spacing w:after="40"/>
      </w:pPr>
      <w:r>
        <w:t>SQL Server remains external to Kubernetes.</w:t>
      </w:r>
    </w:p>
    <w:p>
      <w:pPr>
        <w:pStyle w:val="ListBullet"/>
        <w:spacing w:after="40"/>
      </w:pPr>
      <w:r>
        <w:t>Kafka remains the Strimzi-managed shared platform. CymBuild receives dedicated topics/users/ACLs and publishes through the outbox worker.</w:t>
      </w:r>
    </w:p>
    <w:p>
      <w:pPr>
        <w:pStyle w:val="ListBullet"/>
        <w:spacing w:after="40"/>
      </w:pPr>
      <w:r>
        <w:t>Sage remains behind the approved Sage Wrapper service. The Wrapper is treated as an external dependency unless ownership/source evidence later places its deployment within CymBuild. The retained Sage200Microservice and SageAPI_TEMP_DISABLED projects are not current runtime dependencies and are excluded from the present rollout.</w:t>
      </w:r>
    </w:p>
    <w:p>
      <w:pPr>
        <w:pStyle w:val="ListBullet"/>
        <w:spacing w:after="40"/>
      </w:pPr>
      <w:r>
        <w:t>KEMP LoadMaster and NGINX Ingress form the inbound route; DNS, certificates and health checks must be jointly agreed with platform/network owners.</w:t>
      </w:r>
    </w:p>
    <w:p>
      <w:pPr>
        <w:pStyle w:val="ListBullet"/>
        <w:spacing w:after="40"/>
      </w:pPr>
      <w:r>
        <w:t>Rancher Monitoring, Prometheus, Grafana, Alertmanager, Loki and OpenTelemetry form the primary in-cluster observability path. OpsMon remains appropriate for external systems and cross-platform operational dashboards.</w:t>
      </w:r>
    </w:p>
    <w:p>
      <w:pPr>
        <w:pStyle w:val="ListBullet"/>
        <w:spacing w:after="40"/>
      </w:pPr>
      <w:r>
        <w:t>Longhorn is available for Kubernetes persistence, but CymBuild workloads must be stateless unless a specific persistence requirement is proven.</w:t>
      </w:r>
    </w:p>
    <w:p>
      <w:pPr>
        <w:pStyle w:val="Heading2"/>
      </w:pPr>
      <w:r>
        <w:t>3.3 Namespace and resource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376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Resource</w:t>
            </w:r>
          </w:p>
        </w:tc>
        <w:tc>
          <w:tcPr>
            <w:tcW w:type="dxa" w:w="7128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Proposed model</w:t>
            </w:r>
          </w:p>
        </w:tc>
      </w:tr>
      <w:tr>
        <w:tc>
          <w:tcPr>
            <w:tcW w:type="dxa" w:w="23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Namespaces</w:t>
            </w:r>
          </w:p>
        </w:tc>
        <w:tc>
          <w:tcPr>
            <w:tcW w:type="dxa" w:w="71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One CymBuild namespace per physical environment, with final names confirmed by Platform Operations.</w:t>
            </w:r>
          </w:p>
        </w:tc>
      </w:tr>
      <w:tr>
        <w:tc>
          <w:tcPr>
            <w:tcW w:type="dxa" w:w="23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ServiceAccounts</w:t>
            </w:r>
          </w:p>
        </w:tc>
        <w:tc>
          <w:tcPr>
            <w:tcW w:type="dxa" w:w="71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Separate deployment identity, runtime identity and migration identity where privileges differ.</w:t>
            </w:r>
          </w:p>
        </w:tc>
      </w:tr>
      <w:tr>
        <w:tc>
          <w:tcPr>
            <w:tcW w:type="dxa" w:w="23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RBAC</w:t>
            </w:r>
          </w:p>
        </w:tc>
        <w:tc>
          <w:tcPr>
            <w:tcW w:type="dxa" w:w="71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Namespace-scoped permissions; no cluster-admin pipeline credentials.</w:t>
            </w:r>
          </w:p>
        </w:tc>
      </w:tr>
      <w:tr>
        <w:tc>
          <w:tcPr>
            <w:tcW w:type="dxa" w:w="23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NetworkPolicies</w:t>
            </w:r>
          </w:p>
        </w:tc>
        <w:tc>
          <w:tcPr>
            <w:tcW w:type="dxa" w:w="71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Default-deny target, then explicit ingress/egress for PWA/API, API/SQL, workers/Kafka and approved integrations.</w:t>
            </w:r>
          </w:p>
        </w:tc>
      </w:tr>
      <w:tr>
        <w:tc>
          <w:tcPr>
            <w:tcW w:type="dxa" w:w="23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Resource requests/limits</w:t>
            </w:r>
          </w:p>
        </w:tc>
        <w:tc>
          <w:tcPr>
            <w:tcW w:type="dxa" w:w="71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Required for every workload. Initial values measured in QA and tuned from Prometheus evidence.</w:t>
            </w:r>
          </w:p>
        </w:tc>
      </w:tr>
      <w:tr>
        <w:tc>
          <w:tcPr>
            <w:tcW w:type="dxa" w:w="23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Pod disruption and placement</w:t>
            </w:r>
          </w:p>
        </w:tc>
        <w:tc>
          <w:tcPr>
            <w:tcW w:type="dxa" w:w="71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Use multiple replicas where safe, PodDisruptionBudgets and topology spread/anti-affinity across workers. Singleton workers require explicit leader/concurrency design.</w:t>
            </w:r>
          </w:p>
        </w:tc>
      </w:tr>
      <w:tr>
        <w:tc>
          <w:tcPr>
            <w:tcW w:type="dxa" w:w="23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Storage</w:t>
            </w:r>
          </w:p>
        </w:tc>
        <w:tc>
          <w:tcPr>
            <w:tcW w:type="dxa" w:w="71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No PVC by default. Where approved, define claim, StorageClass, access mode, backup/restore owner and capacity alerts.</w:t>
            </w:r>
          </w:p>
        </w:tc>
      </w:tr>
    </w:tbl>
    <w:p>
      <w:pPr>
        <w:spacing w:after="20"/>
      </w:pPr>
    </w:p>
    <w:p>
      <w:pPr>
        <w:pStyle w:val="Heading1"/>
      </w:pPr>
      <w:r>
        <w:t>4. Proposed end-to-end CI/CD pipeline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sz w:val="20"/>
              </w:rPr>
              <w:t xml:space="preserve">Release principle: </w:t>
            </w:r>
            <w:r>
              <w:rPr>
                <w:rFonts w:ascii="Arial" w:hAnsi="Arial"/>
                <w:sz w:val="20"/>
              </w:rPr>
              <w:t>One release identifier links Jira ticket, Git commit, build evidence, image digests, schema plan/run, metadata plan/run, environment deployment and verification results.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648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2376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6480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Required result</w:t>
            </w:r>
          </w:p>
        </w:tc>
      </w:tr>
      <w:tr>
        <w:tc>
          <w:tcPr>
            <w:tcW w:type="dxa" w:w="6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23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Trigger and release identity</w:t>
            </w:r>
          </w:p>
        </w:tc>
        <w:tc>
          <w:tcPr>
            <w:tcW w:type="dxa" w:w="64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Protected branch or release tag creates an immutable ReleaseId; validate Jira/branch/PR traceability and prevent duplicate concurrent releases.</w:t>
            </w:r>
          </w:p>
        </w:tc>
      </w:tr>
      <w:tr>
        <w:tc>
          <w:tcPr>
            <w:tcW w:type="dxa" w:w="6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23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Source and architecture validation</w:t>
            </w:r>
          </w:p>
        </w:tc>
        <w:tc>
          <w:tcPr>
            <w:tcW w:type="dxa" w:w="64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Validate solution structure, prohibited UI/API/SQL dependencies, forbidden direct status updates, DataObjects patterns, secret scanning and source cleanliness.</w:t>
            </w:r>
          </w:p>
        </w:tc>
      </w:tr>
      <w:tr>
        <w:tc>
          <w:tcPr>
            <w:tcW w:type="dxa" w:w="6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23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Restore, compile and static analysis</w:t>
            </w:r>
          </w:p>
        </w:tc>
        <w:tc>
          <w:tcPr>
            <w:tcW w:type="dxa" w:w="64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Restore with locked dependencies where supported; compile all deployable projects; treat warnings according to an agreed baseline; run formatting/analyser/security rules.</w:t>
            </w:r>
          </w:p>
        </w:tc>
      </w:tr>
      <w:tr>
        <w:tc>
          <w:tcPr>
            <w:tcW w:type="dxa" w:w="6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23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Automated tests</w:t>
            </w:r>
          </w:p>
        </w:tc>
        <w:tc>
          <w:tcPr>
            <w:tcW w:type="dxa" w:w="64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Run unit tests, API tests and SQL integration tests against an isolated database. Add contract, workflow, outbox idempotency and migration-runner tests as gaps are identified.</w:t>
            </w:r>
          </w:p>
        </w:tc>
      </w:tr>
      <w:tr>
        <w:tc>
          <w:tcPr>
            <w:tcW w:type="dxa" w:w="6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23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Build immutable images</w:t>
            </w:r>
          </w:p>
        </w:tc>
        <w:tc>
          <w:tcPr>
            <w:tcW w:type="dxa" w:w="64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Build one image for each approved deployable component using multi-stage Dockerfiles compatible with the private registry and RKE2/containerd. Tag with ReleaseId and Git SHA; record digest. Do not build inactive Sage microservice projects as release images.</w:t>
            </w:r>
          </w:p>
        </w:tc>
      </w:tr>
      <w:tr>
        <w:tc>
          <w:tcPr>
            <w:tcW w:type="dxa" w:w="6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23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Supply-chain checks</w:t>
            </w:r>
          </w:p>
        </w:tc>
        <w:tc>
          <w:tcPr>
            <w:tcW w:type="dxa" w:w="64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Scan source, dependencies and images; create SBOM; verify no secrets; apply signing/attestation if platform capability is approved.</w:t>
            </w:r>
          </w:p>
        </w:tc>
      </w:tr>
      <w:tr>
        <w:tc>
          <w:tcPr>
            <w:tcW w:type="dxa" w:w="6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23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Publish to private registry</w:t>
            </w:r>
          </w:p>
        </w:tc>
        <w:tc>
          <w:tcPr>
            <w:tcW w:type="dxa" w:w="64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Push to docker.socotec.co.uk using a robot/service identity. Never use latest for QA/UAT/LIVE.</w:t>
            </w:r>
          </w:p>
        </w:tc>
      </w:tr>
      <w:tr>
        <w:tc>
          <w:tcPr>
            <w:tcW w:type="dxa" w:w="6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23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Environment preflight</w:t>
            </w:r>
          </w:p>
        </w:tc>
        <w:tc>
          <w:tcPr>
            <w:tcW w:type="dxa" w:w="64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r/>
            <w:r>
              <w:rPr>
                <w:rFonts w:ascii="Arial" w:hAnsi="Arial"/>
                <w:b w:val="0"/>
                <w:sz w:val="16"/>
              </w:rPr>
              <w:t>Confirm namespace, RBAC, registry pull, ConfigMaps/Secrets, SQL/Kafka/Sage Wrapper connectivity, available capacity, migration lock availability and target release policy.</w:t>
            </w:r>
          </w:p>
        </w:tc>
      </w:tr>
      <w:tr>
        <w:tc>
          <w:tcPr>
            <w:tcW w:type="dxa" w:w="6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8</w:t>
            </w:r>
          </w:p>
        </w:tc>
        <w:tc>
          <w:tcPr>
            <w:tcW w:type="dxa" w:w="23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Schema preview and acceptance</w:t>
            </w:r>
          </w:p>
        </w:tc>
        <w:tc>
          <w:tcPr>
            <w:tcW w:type="dxa" w:w="64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Run the source-controlled schema comparison/plan in Validate/WhatIf mode, enforce supported-object and baseline-hash gates, retain generated evidence and require approval appropriate to the environment.</w:t>
            </w:r>
          </w:p>
        </w:tc>
      </w:tr>
      <w:tr>
        <w:tc>
          <w:tcPr>
            <w:tcW w:type="dxa" w:w="6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9</w:t>
            </w:r>
          </w:p>
        </w:tc>
        <w:tc>
          <w:tcPr>
            <w:tcW w:type="dxa" w:w="23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Schema apply and verify</w:t>
            </w:r>
          </w:p>
        </w:tc>
        <w:tc>
          <w:tcPr>
            <w:tcW w:type="dxa" w:w="64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Apply accepted idempotent schema work through the controlled runner/Job; execute pre/post scripts as designed; verify target state and audit outcome.</w:t>
            </w:r>
          </w:p>
        </w:tc>
      </w:tr>
      <w:tr>
        <w:tc>
          <w:tcPr>
            <w:tcW w:type="dxa" w:w="6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10</w:t>
            </w:r>
          </w:p>
        </w:tc>
        <w:tc>
          <w:tcPr>
            <w:tcW w:type="dxa" w:w="23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Metadata stage, validate, accept, apply, verify</w:t>
            </w:r>
          </w:p>
        </w:tc>
        <w:tc>
          <w:tcPr>
            <w:tcW w:type="dxa" w:w="64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Use the run-based SMigration lifecycle. Preserve selected/excluded records and identity mapping; fail deployment if validation or verification does not pass.</w:t>
            </w:r>
          </w:p>
        </w:tc>
      </w:tr>
      <w:tr>
        <w:tc>
          <w:tcPr>
            <w:tcW w:type="dxa" w:w="6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11</w:t>
            </w:r>
          </w:p>
        </w:tc>
        <w:tc>
          <w:tcPr>
            <w:tcW w:type="dxa" w:w="23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Deploy application workloads</w:t>
            </w:r>
          </w:p>
        </w:tc>
        <w:tc>
          <w:tcPr>
            <w:tcW w:type="dxa" w:w="64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Apply declarative manifests/overlays referencing immutable digests. Wait for rollout, probes, ready endpoints and replica availability.</w:t>
            </w:r>
          </w:p>
        </w:tc>
      </w:tr>
      <w:tr>
        <w:tc>
          <w:tcPr>
            <w:tcW w:type="dxa" w:w="6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12</w:t>
            </w:r>
          </w:p>
        </w:tc>
        <w:tc>
          <w:tcPr>
            <w:tcW w:type="dxa" w:w="23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Smoke and integration checks</w:t>
            </w:r>
          </w:p>
        </w:tc>
        <w:tc>
          <w:tcPr>
            <w:tcW w:type="dxa" w:w="64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Check Pod state/events, ConfigMap/Secret references, Service selectors, EndpointSlices, Ingress route, gRPC/API health, SQL access, outbox publication and approved critical user journeys.</w:t>
            </w:r>
          </w:p>
        </w:tc>
      </w:tr>
      <w:tr>
        <w:tc>
          <w:tcPr>
            <w:tcW w:type="dxa" w:w="6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13</w:t>
            </w:r>
          </w:p>
        </w:tc>
        <w:tc>
          <w:tcPr>
            <w:tcW w:type="dxa" w:w="23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Promote</w:t>
            </w:r>
          </w:p>
        </w:tc>
        <w:tc>
          <w:tcPr>
            <w:tcW w:type="dxa" w:w="64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Promote the same image digests and the same governed release evidence from QA to UAT and LIVE, with environment approvals and no rebuild.</w:t>
            </w:r>
          </w:p>
        </w:tc>
      </w:tr>
      <w:tr>
        <w:tc>
          <w:tcPr>
            <w:tcW w:type="dxa" w:w="6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14</w:t>
            </w:r>
          </w:p>
        </w:tc>
        <w:tc>
          <w:tcPr>
            <w:tcW w:type="dxa" w:w="23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Post-deployment audit</w:t>
            </w:r>
          </w:p>
        </w:tc>
        <w:tc>
          <w:tcPr>
            <w:tcW w:type="dxa" w:w="64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Record release, digests, migration run IDs, approvals, verification, monitoring links and any exceptions. Publish Jira/Confluence release evidence.</w:t>
            </w:r>
          </w:p>
        </w:tc>
      </w:tr>
    </w:tbl>
    <w:p>
      <w:pPr>
        <w:spacing w:after="20"/>
      </w:pPr>
    </w:p>
    <w:p>
      <w:pPr>
        <w:pStyle w:val="Heading2"/>
      </w:pPr>
      <w:r>
        <w:t>4.1 Environment progression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296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Environment</w:t>
            </w:r>
          </w:p>
        </w:tc>
        <w:tc>
          <w:tcPr>
            <w:tcW w:type="dxa" w:w="2088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Trigger</w:t>
            </w:r>
          </w:p>
        </w:tc>
        <w:tc>
          <w:tcPr>
            <w:tcW w:type="dxa" w:w="3672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Minimum gate</w:t>
            </w:r>
          </w:p>
        </w:tc>
        <w:tc>
          <w:tcPr>
            <w:tcW w:type="dxa" w:w="3024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Failure action</w:t>
            </w:r>
          </w:p>
        </w:tc>
      </w:tr>
      <w:tr>
        <w:tc>
          <w:tcPr>
            <w:tcW w:type="dxa" w:w="12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Local DEV</w:t>
            </w:r>
          </w:p>
        </w:tc>
        <w:tc>
          <w:tcPr>
            <w:tcW w:type="dxa" w:w="20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Developer action</w:t>
            </w:r>
          </w:p>
        </w:tc>
        <w:tc>
          <w:tcPr>
            <w:tcW w:type="dxa" w:w="36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Build/tests, local Podman image execution, Hyper-V Minikube Kubernetes validation where relevant.</w:t>
            </w:r>
          </w:p>
        </w:tc>
        <w:tc>
          <w:tcPr>
            <w:tcW w:type="dxa" w:w="30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Fix locally; no shared environment impact.</w:t>
            </w:r>
          </w:p>
        </w:tc>
      </w:tr>
      <w:tr>
        <w:tc>
          <w:tcPr>
            <w:tcW w:type="dxa" w:w="12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QA</w:t>
            </w:r>
          </w:p>
        </w:tc>
        <w:tc>
          <w:tcPr>
            <w:tcW w:type="dxa" w:w="20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Automatic or controlled pipeline after merge</w:t>
            </w:r>
          </w:p>
        </w:tc>
        <w:tc>
          <w:tcPr>
            <w:tcW w:type="dxa" w:w="36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All build/security gates, schema/metadata preview and apply, rollout and smoke tests.</w:t>
            </w:r>
          </w:p>
        </w:tc>
        <w:tc>
          <w:tcPr>
            <w:tcW w:type="dxa" w:w="30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Stop release; retain logs and migration evidence; forward-fix source.</w:t>
            </w:r>
          </w:p>
        </w:tc>
      </w:tr>
      <w:tr>
        <w:tc>
          <w:tcPr>
            <w:tcW w:type="dxa" w:w="12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UAT</w:t>
            </w:r>
          </w:p>
        </w:tc>
        <w:tc>
          <w:tcPr>
            <w:tcW w:type="dxa" w:w="20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Manual approval after successful QA</w:t>
            </w:r>
          </w:p>
        </w:tc>
        <w:tc>
          <w:tcPr>
            <w:tcW w:type="dxa" w:w="36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Same digests, accepted release evidence, UAT configuration validation and business test readiness.</w:t>
            </w:r>
          </w:p>
        </w:tc>
        <w:tc>
          <w:tcPr>
            <w:tcW w:type="dxa" w:w="30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Rollback application digest where safe; database changes use controlled roll-forward unless an approved reversible change exists.</w:t>
            </w:r>
          </w:p>
        </w:tc>
      </w:tr>
      <w:tr>
        <w:tc>
          <w:tcPr>
            <w:tcW w:type="dxa" w:w="12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LIVE</w:t>
            </w:r>
          </w:p>
        </w:tc>
        <w:tc>
          <w:tcPr>
            <w:tcW w:type="dxa" w:w="20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Restricted change approval</w:t>
            </w:r>
          </w:p>
        </w:tc>
        <w:tc>
          <w:tcPr>
            <w:tcW w:type="dxa" w:w="36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Same tested digests, approved schema/metadata plans, maintenance/communication requirements, monitoring and rollback readiness.</w:t>
            </w:r>
          </w:p>
        </w:tc>
        <w:tc>
          <w:tcPr>
            <w:tcW w:type="dxa" w:w="30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Abort before rollout on migration failure; application rollback only to a schema-compatible digest; escalate database recovery to authorised DBA/Platform process.</w:t>
            </w:r>
          </w:p>
        </w:tc>
      </w:tr>
    </w:tbl>
    <w:p>
      <w:pPr>
        <w:spacing w:after="20"/>
      </w:pPr>
    </w:p>
    <w:p>
      <w:pPr>
        <w:pStyle w:val="Heading1"/>
      </w:pPr>
      <w:r>
        <w:t>5. Schema and metadata deployment model</w:t>
      </w:r>
    </w:p>
    <w:p>
      <w:pPr>
        <w:pStyle w:val="Heading2"/>
      </w:pPr>
      <w:r>
        <w:t>5.1 Schema sequence</w:t>
      </w:r>
    </w:p>
    <w:p>
      <w:pPr>
        <w:spacing w:after="80"/>
        <w:ind w:left="317" w:hanging="259"/>
      </w:pPr>
      <w:r>
        <w:t>1. Acquire a release/deployment lock for the target environment.</w:t>
      </w:r>
    </w:p>
    <w:p>
      <w:pPr>
        <w:spacing w:after="80"/>
        <w:ind w:left="317" w:hanging="259"/>
      </w:pPr>
      <w:r>
        <w:t>2. Validate the target server/database, ReleaseReference and source baseline.</w:t>
      </w:r>
    </w:p>
    <w:p>
      <w:pPr>
        <w:spacing w:after="80"/>
        <w:ind w:left="317" w:hanging="259"/>
      </w:pPr>
      <w:r>
        <w:t>3. Run SCore.PreDeploymentScript on source and target according to the established rules.</w:t>
      </w:r>
    </w:p>
    <w:p>
      <w:pPr>
        <w:spacing w:after="80"/>
        <w:ind w:left="317" w:hanging="259"/>
      </w:pPr>
      <w:r>
        <w:t>4. Generate the comparison and deployment plan.</w:t>
      </w:r>
    </w:p>
    <w:p>
      <w:pPr>
        <w:spacing w:after="80"/>
        <w:ind w:left="317" w:hanging="259"/>
      </w:pPr>
      <w:r>
        <w:t>5. Reject unsupported or unaccepted differences; preserve baseline-hash protection.</w:t>
      </w:r>
    </w:p>
    <w:p>
      <w:pPr>
        <w:spacing w:after="80"/>
        <w:ind w:left="317" w:hanging="259"/>
      </w:pPr>
      <w:r>
        <w:t>6. Accept the reviewed plan through the governed process.</w:t>
      </w:r>
    </w:p>
    <w:p>
      <w:pPr>
        <w:spacing w:after="80"/>
        <w:ind w:left="317" w:hanging="259"/>
      </w:pPr>
      <w:r>
        <w:t>7. Apply selected supported items only.</w:t>
      </w:r>
    </w:p>
    <w:p>
      <w:pPr>
        <w:spacing w:after="80"/>
        <w:ind w:left="317" w:hanging="259"/>
      </w:pPr>
      <w:r>
        <w:t>8. Run SCore.PostDeploymentScript to restore schema-bound objects where required.</w:t>
      </w:r>
    </w:p>
    <w:p>
      <w:pPr>
        <w:spacing w:after="80"/>
        <w:ind w:left="317" w:hanging="259"/>
      </w:pPr>
      <w:r>
        <w:t>9. Verify object state and deployment audit records.</w:t>
      </w:r>
    </w:p>
    <w:p>
      <w:pPr>
        <w:spacing w:after="80"/>
        <w:ind w:left="317" w:hanging="259"/>
      </w:pPr>
      <w:r>
        <w:t>10. Release the lock only after verification is complete.</w:t>
      </w:r>
    </w:p>
    <w:p>
      <w:pPr>
        <w:pStyle w:val="Heading2"/>
      </w:pPr>
      <w:r>
        <w:t>5.2 Metadata sequence</w:t>
      </w:r>
    </w:p>
    <w:p>
      <w:pPr>
        <w:spacing w:after="80"/>
        <w:ind w:left="317" w:hanging="259"/>
      </w:pPr>
      <w:r>
        <w:t>1. Create a metadata migration run and stage source/target records.</w:t>
      </w:r>
    </w:p>
    <w:p>
      <w:pPr>
        <w:spacing w:after="80"/>
        <w:ind w:left="317" w:hanging="259"/>
      </w:pPr>
      <w:r>
        <w:t>2. Validate metadata and build the identity map.</w:t>
      </w:r>
    </w:p>
    <w:p>
      <w:pPr>
        <w:spacing w:after="80"/>
        <w:ind w:left="317" w:hanging="259"/>
      </w:pPr>
      <w:r>
        <w:t>3. Review differences; explicitly ignore or override where governed.</w:t>
      </w:r>
    </w:p>
    <w:p>
      <w:pPr>
        <w:spacing w:after="80"/>
        <w:ind w:left="317" w:hanging="259"/>
      </w:pPr>
      <w:r>
        <w:t>4. Select records and validate the selected set.</w:t>
      </w:r>
    </w:p>
    <w:p>
      <w:pPr>
        <w:spacing w:after="80"/>
        <w:ind w:left="317" w:hanging="259"/>
      </w:pPr>
      <w:r>
        <w:t>5. Generate an apply preview and retain its hash/evidence.</w:t>
      </w:r>
    </w:p>
    <w:p>
      <w:pPr>
        <w:spacing w:after="80"/>
        <w:ind w:left="317" w:hanging="259"/>
      </w:pPr>
      <w:r>
        <w:t>6. Accept the run for deployment.</w:t>
      </w:r>
    </w:p>
    <w:p>
      <w:pPr>
        <w:spacing w:after="80"/>
        <w:ind w:left="317" w:hanging="259"/>
      </w:pPr>
      <w:r>
        <w:t>7. Apply idempotent upserts in dependency order, including DataObjects rows.</w:t>
      </w:r>
    </w:p>
    <w:p>
      <w:pPr>
        <w:spacing w:after="80"/>
        <w:ind w:left="317" w:hanging="259"/>
      </w:pPr>
      <w:r>
        <w:t>8. Verify deployed metadata and audit the run.</w:t>
      </w:r>
    </w:p>
    <w:p>
      <w:r>
        <w:rPr>
          <w:b/>
        </w:rPr>
        <w:t xml:space="preserve">Mandatory order for grid metadata: </w:t>
      </w:r>
      <w:r>
        <w:t>GridDefinition -&gt; GridViewDefinition -&gt; GridViewColumnDefinition.</w:t>
      </w:r>
    </w:p>
    <w:p>
      <w:pPr>
        <w:pStyle w:val="Heading2"/>
      </w:pPr>
      <w:r>
        <w:t>5.3 Database rollback policy</w:t>
      </w:r>
    </w:p>
    <w:p>
      <w:pPr>
        <w:pStyle w:val="ListBullet"/>
        <w:spacing w:after="40"/>
      </w:pPr>
      <w:r>
        <w:t>The normal recovery method is source-controlled roll-forward, not ad hoc reverse SQL.</w:t>
      </w:r>
    </w:p>
    <w:p>
      <w:pPr>
        <w:pStyle w:val="ListBullet"/>
        <w:spacing w:after="40"/>
      </w:pPr>
      <w:r>
        <w:t>The pipeline must stop before application rollout when schema or metadata apply/verify fails.</w:t>
      </w:r>
    </w:p>
    <w:p>
      <w:pPr>
        <w:pStyle w:val="ListBullet"/>
        <w:spacing w:after="40"/>
      </w:pPr>
      <w:r>
        <w:t>Application rollback is permitted only when the previous image is compatible with the already-applied database state.</w:t>
      </w:r>
    </w:p>
    <w:p>
      <w:pPr>
        <w:pStyle w:val="ListBullet"/>
        <w:spacing w:after="40"/>
      </w:pPr>
      <w:r>
        <w:t>Database restore is an emergency operational procedure owned by authorised platform/DBA roles, not an automatic pipeline step.</w:t>
      </w:r>
    </w:p>
    <w:p>
      <w:pPr>
        <w:pStyle w:val="ListBullet"/>
        <w:spacing w:after="40"/>
      </w:pPr>
      <w:r>
        <w:t>Destructive or one-way changes require explicit release design, data migration validation, backup/recovery evidence and approval.</w:t>
      </w:r>
    </w:p>
    <w:p>
      <w:pPr>
        <w:pStyle w:val="Heading1"/>
      </w:pPr>
      <w:r>
        <w:t>6. Kubernetes packaging and configuration</w:t>
      </w:r>
    </w:p>
    <w:p>
      <w:pPr>
        <w:pStyle w:val="Heading2"/>
      </w:pPr>
      <w:r>
        <w:t>6.1 Recommended repository structure</w:t>
      </w:r>
    </w:p>
    <w:p>
      <w:pPr>
        <w:pStyle w:val="Code"/>
      </w:pPr>
      <w:r>
        <w:t>deploy/</w:t>
        <w:br/>
        <w:t xml:space="preserve">  base/</w:t>
        <w:br/>
        <w:t xml:space="preserve">    pwa/</w:t>
        <w:br/>
        <w:t xml:space="preserve">    api/</w:t>
        <w:br/>
        <w:t xml:space="preserve">    workers/</w:t>
        <w:br/>
        <w:t xml:space="preserve">    services/</w:t>
        <w:br/>
        <w:t xml:space="preserve">    network-policies/</w:t>
        <w:br/>
        <w:t xml:space="preserve">    monitoring/</w:t>
        <w:br/>
        <w:t xml:space="preserve">  overlays/</w:t>
        <w:br/>
        <w:t xml:space="preserve">    qa/</w:t>
        <w:br/>
        <w:t xml:space="preserve">    uat/</w:t>
        <w:br/>
        <w:t xml:space="preserve">    live/</w:t>
        <w:br/>
        <w:t xml:space="preserve">  jobs/</w:t>
        <w:br/>
        <w:t xml:space="preserve">    schema-migration/</w:t>
        <w:br/>
        <w:t xml:space="preserve">    metadata-migration/</w:t>
        <w:br/>
        <w:t>pipelines/</w:t>
        <w:br/>
        <w:t xml:space="preserve">  bitbucket-pipelines.yml</w:t>
        <w:br/>
        <w:t>tools/</w:t>
        <w:br/>
        <w:t xml:space="preserve">  SchemaDeployment/</w:t>
        <w:br/>
        <w:t xml:space="preserve">  MetadataDeployment/</w:t>
        <w:br/>
      </w:r>
    </w:p>
    <w:p>
      <w:r>
        <w:t>Provisional packaging choice: use Kustomize base/overlays unless SOCOTEC has an established Helm or GitOps standard that must be followed. The decision is retained in the unknowns register rather than assumed.</w:t>
      </w:r>
    </w:p>
    <w:p>
      <w:pPr>
        <w:pStyle w:val="Heading2"/>
      </w:pPr>
      <w:r>
        <w:t>6.2 Configuration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304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Configuration type</w:t>
            </w:r>
          </w:p>
        </w:tc>
        <w:tc>
          <w:tcPr>
            <w:tcW w:type="dxa" w:w="3096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Location</w:t>
            </w:r>
          </w:p>
        </w:tc>
        <w:tc>
          <w:tcPr>
            <w:tcW w:type="dxa" w:w="3888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Rule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Non-sensitive environment configuration</w:t>
            </w:r>
          </w:p>
        </w:tc>
        <w:tc>
          <w:tcPr>
            <w:tcW w:type="dxa" w:w="30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ConfigMap or deployment environment variables</w:t>
            </w:r>
          </w:p>
        </w:tc>
        <w:tc>
          <w:tcPr>
            <w:tcW w:type="dxa" w:w="38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Source-controlled template/overlay; environment values managed through approved deployment variables.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Credentials, certificates, API keys</w:t>
            </w:r>
          </w:p>
        </w:tc>
        <w:tc>
          <w:tcPr>
            <w:tcW w:type="dxa" w:w="30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Approved Kubernetes Secret mechanism / external secret manager</w:t>
            </w:r>
          </w:p>
        </w:tc>
        <w:tc>
          <w:tcPr>
            <w:tcW w:type="dxa" w:w="38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Never committed to Git, baked into images or exposed to the PWA.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Connection strings</w:t>
            </w:r>
          </w:p>
        </w:tc>
        <w:tc>
          <w:tcPr>
            <w:tcW w:type="dxa" w:w="30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Secret reference</w:t>
            </w:r>
          </w:p>
        </w:tc>
        <w:tc>
          <w:tcPr>
            <w:tcW w:type="dxa" w:w="38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Use environment-specific service identity; exact authentication mechanism must be confirmed.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Feature flags</w:t>
            </w:r>
          </w:p>
        </w:tc>
        <w:tc>
          <w:tcPr>
            <w:tcW w:type="dxa" w:w="30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ConfigMap or approved flag service</w:t>
            </w:r>
          </w:p>
        </w:tc>
        <w:tc>
          <w:tcPr>
            <w:tcW w:type="dxa" w:w="38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Changes are auditable and environment-scoped.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Registry credentials</w:t>
            </w:r>
          </w:p>
        </w:tc>
        <w:tc>
          <w:tcPr>
            <w:tcW w:type="dxa" w:w="30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Namespace imagePullSecret or node-level approved configuration</w:t>
            </w:r>
          </w:p>
        </w:tc>
        <w:tc>
          <w:tcPr>
            <w:tcW w:type="dxa" w:w="38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Managed by Platform Operations; rotation procedure documented.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PWA public configuration</w:t>
            </w:r>
          </w:p>
        </w:tc>
        <w:tc>
          <w:tcPr>
            <w:tcW w:type="dxa" w:w="30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Only values safe for a browser</w:t>
            </w:r>
          </w:p>
        </w:tc>
        <w:tc>
          <w:tcPr>
            <w:tcW w:type="dxa" w:w="38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No client secrets. Treat all PWA-delivered values as publicly inspectable.</w:t>
            </w:r>
          </w:p>
        </w:tc>
      </w:tr>
    </w:tbl>
    <w:p>
      <w:pPr>
        <w:spacing w:after="20"/>
      </w:pPr>
    </w:p>
    <w:p>
      <w:pPr>
        <w:pStyle w:val="Heading2"/>
      </w:pPr>
      <w:r>
        <w:t>6.3 Health and rollout requirements</w:t>
      </w:r>
    </w:p>
    <w:p>
      <w:pPr>
        <w:pStyle w:val="ListBullet"/>
        <w:spacing w:after="40"/>
      </w:pPr>
      <w:r>
        <w:t>startupProbe where application startup can exceed normal readiness timing.</w:t>
      </w:r>
    </w:p>
    <w:p>
      <w:pPr>
        <w:pStyle w:val="ListBullet"/>
        <w:spacing w:after="40"/>
      </w:pPr>
      <w:r>
        <w:t>readinessProbe must test whether the Pod can safely receive traffic, including critical dependencies only when that is operationally appropriate.</w:t>
      </w:r>
    </w:p>
    <w:p>
      <w:pPr>
        <w:pStyle w:val="ListBullet"/>
        <w:spacing w:after="40"/>
      </w:pPr>
      <w:r>
        <w:t>livenessProbe must detect unrecoverable process failure without causing restart loops for temporary dependency outages.</w:t>
      </w:r>
    </w:p>
    <w:p>
      <w:pPr>
        <w:pStyle w:val="ListBullet"/>
        <w:spacing w:after="40"/>
      </w:pPr>
      <w:r>
        <w:t>Every Service selector must match the Pod labels; every Service targetPort must match a named/numeric container port.</w:t>
      </w:r>
    </w:p>
    <w:p>
      <w:pPr>
        <w:pStyle w:val="ListBullet"/>
        <w:spacing w:after="40"/>
      </w:pPr>
      <w:r>
        <w:t>Every Ingress backend port must match the Service port, not the container port unless they are intentionally equal.</w:t>
      </w:r>
    </w:p>
    <w:p>
      <w:pPr>
        <w:pStyle w:val="ListBullet"/>
        <w:spacing w:after="40"/>
      </w:pPr>
      <w:r>
        <w:t>A successful rollout requires ready Pods and populated EndpointSlices, not only a Running container state.</w:t>
      </w:r>
    </w:p>
    <w:p>
      <w:pPr>
        <w:pStyle w:val="Heading1"/>
      </w:pPr>
      <w:r>
        <w:t>7. Security and compliance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872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5112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Proposed implementation</w:t>
            </w:r>
          </w:p>
        </w:tc>
        <w:tc>
          <w:tcPr>
            <w:tcW w:type="dxa" w:w="2304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Gate</w:t>
            </w:r>
          </w:p>
        </w:tc>
      </w:tr>
      <w:tr>
        <w:tc>
          <w:tcPr>
            <w:tcW w:type="dxa" w:w="18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Secret hygiene</w:t>
            </w:r>
          </w:p>
        </w:tc>
        <w:tc>
          <w:tcPr>
            <w:tcW w:type="dxa" w:w="51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Remove/rotate exposed repository and PWA secrets; block future commits with scanning.</w:t>
            </w:r>
          </w:p>
        </w:tc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No pipeline onboarding until critical findings are closed.</w:t>
            </w:r>
          </w:p>
        </w:tc>
      </w:tr>
      <w:tr>
        <w:tc>
          <w:tcPr>
            <w:tcW w:type="dxa" w:w="18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Image provenance</w:t>
            </w:r>
          </w:p>
        </w:tc>
        <w:tc>
          <w:tcPr>
            <w:tcW w:type="dxa" w:w="51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Immutable tags/digests, SBOM, vulnerability scan and optional signing/attestation.</w:t>
            </w:r>
          </w:p>
        </w:tc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Thresholds and exception process confirmed before UAT.</w:t>
            </w:r>
          </w:p>
        </w:tc>
      </w:tr>
      <w:tr>
        <w:tc>
          <w:tcPr>
            <w:tcW w:type="dxa" w:w="18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Runtime identity</w:t>
            </w:r>
          </w:p>
        </w:tc>
        <w:tc>
          <w:tcPr>
            <w:tcW w:type="dxa" w:w="51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Dedicated least-privilege ServiceAccount per workload class where required.</w:t>
            </w:r>
          </w:p>
        </w:tc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No default service account for privileged workloads.</w:t>
            </w:r>
          </w:p>
        </w:tc>
      </w:tr>
      <w:tr>
        <w:tc>
          <w:tcPr>
            <w:tcW w:type="dxa" w:w="18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Deployment identity</w:t>
            </w:r>
          </w:p>
        </w:tc>
        <w:tc>
          <w:tcPr>
            <w:tcW w:type="dxa" w:w="51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Namespace-scoped kubeconfig/token or approved workload identity.</w:t>
            </w:r>
          </w:p>
        </w:tc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No broad cluster credentials in Bitbucket variables.</w:t>
            </w:r>
          </w:p>
        </w:tc>
      </w:tr>
      <w:tr>
        <w:tc>
          <w:tcPr>
            <w:tcW w:type="dxa" w:w="18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Container hardening</w:t>
            </w:r>
          </w:p>
        </w:tc>
        <w:tc>
          <w:tcPr>
            <w:tcW w:type="dxa" w:w="51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Run as non-root where compatible, drop capabilities, read-only root filesystem where practical, seccomp and resource limits.</w:t>
            </w:r>
          </w:p>
        </w:tc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Exceptions documented with evidence.</w:t>
            </w:r>
          </w:p>
        </w:tc>
      </w:tr>
      <w:tr>
        <w:tc>
          <w:tcPr>
            <w:tcW w:type="dxa" w:w="18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Network segmentation</w:t>
            </w:r>
          </w:p>
        </w:tc>
        <w:tc>
          <w:tcPr>
            <w:tcW w:type="dxa" w:w="51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Default-deny policy target with explicit required flows.</w:t>
            </w:r>
          </w:p>
        </w:tc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Validated in QA before UAT.</w:t>
            </w:r>
          </w:p>
        </w:tc>
      </w:tr>
      <w:tr>
        <w:tc>
          <w:tcPr>
            <w:tcW w:type="dxa" w:w="18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SQL access</w:t>
            </w:r>
          </w:p>
        </w:tc>
        <w:tc>
          <w:tcPr>
            <w:tcW w:type="dxa" w:w="51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Dedicated environment service identity with least privilege and audited connectivity.</w:t>
            </w:r>
          </w:p>
        </w:tc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Authentication and rotation model confirmed.</w:t>
            </w:r>
          </w:p>
        </w:tc>
      </w:tr>
      <w:tr>
        <w:tc>
          <w:tcPr>
            <w:tcW w:type="dxa" w:w="18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Kafka access</w:t>
            </w:r>
          </w:p>
        </w:tc>
        <w:tc>
          <w:tcPr>
            <w:tcW w:type="dxa" w:w="51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Dedicated Strimzi KafkaUser, SCRAM/TLS as platform-approved and least-privilege ACLs.</w:t>
            </w:r>
          </w:p>
        </w:tc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Topics/users/ACLs created before worker rollout.</w:t>
            </w:r>
          </w:p>
        </w:tc>
      </w:tr>
      <w:tr>
        <w:tc>
          <w:tcPr>
            <w:tcW w:type="dxa" w:w="18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Ingress/TLS</w:t>
            </w:r>
          </w:p>
        </w:tc>
        <w:tc>
          <w:tcPr>
            <w:tcW w:type="dxa" w:w="51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KEMP/NGINX routing, approved certificate custody and health checks.</w:t>
            </w:r>
          </w:p>
        </w:tc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DNS/TLS/host-path evidence before external testing.</w:t>
            </w:r>
          </w:p>
        </w:tc>
      </w:tr>
    </w:tbl>
    <w:p>
      <w:pPr>
        <w:spacing w:after="20"/>
      </w:pPr>
    </w:p>
    <w:p>
      <w:pPr>
        <w:pStyle w:val="Heading1"/>
      </w:pPr>
      <w:r>
        <w:t>8. Observability, support and incident operations</w:t>
      </w:r>
    </w:p>
    <w:p>
      <w:pPr>
        <w:pStyle w:val="Heading2"/>
      </w:pPr>
      <w:r>
        <w:t>8.1 Minimum telemetry</w:t>
      </w:r>
    </w:p>
    <w:p>
      <w:pPr>
        <w:pStyle w:val="ListBullet"/>
        <w:spacing w:after="40"/>
      </w:pPr>
      <w:r>
        <w:t>Structured application logs with correlation identifiers propagated PWA -&gt; gRPC API -&gt; EF/workflow -&gt; outbox -&gt; integration worker.</w:t>
      </w:r>
    </w:p>
    <w:p>
      <w:pPr>
        <w:pStyle w:val="ListBullet"/>
        <w:spacing w:after="40"/>
      </w:pPr>
      <w:r>
        <w:t>Metrics for request rate, latency, failures, authentication failures, database dependency health, outbox backlog/age, worker retries, invoice automation outcomes and Kafka publication.</w:t>
      </w:r>
    </w:p>
    <w:p>
      <w:pPr>
        <w:pStyle w:val="ListBullet"/>
        <w:spacing w:after="40"/>
      </w:pPr>
      <w:r>
        <w:t>Kubernetes metrics for replica availability, restart count, readiness failures, CPU/memory saturation, pending Pods and rollout duration.</w:t>
      </w:r>
    </w:p>
    <w:p>
      <w:pPr>
        <w:pStyle w:val="ListBullet"/>
        <w:spacing w:after="40"/>
      </w:pPr>
      <w:r>
        <w:t>Storage metrics only for approved PVC-backed workloads: binding, attachment, capacity, latency and Longhorn replica health.</w:t>
      </w:r>
    </w:p>
    <w:p>
      <w:pPr>
        <w:pStyle w:val="ListBullet"/>
        <w:spacing w:after="40"/>
      </w:pPr>
      <w:r>
        <w:t>Traces through OpenTelemetry where supported, especially across API, database, outbox and external controlled services.</w:t>
      </w:r>
    </w:p>
    <w:p>
      <w:pPr>
        <w:pStyle w:val="Heading2"/>
      </w:pPr>
      <w:r>
        <w:t>8.2 Alert ownership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232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Alert class</w:t>
            </w:r>
          </w:p>
        </w:tc>
        <w:tc>
          <w:tcPr>
            <w:tcW w:type="dxa" w:w="3096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Primary owner</w:t>
            </w:r>
          </w:p>
        </w:tc>
        <w:tc>
          <w:tcPr>
            <w:tcW w:type="dxa" w:w="3960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Examples</w:t>
            </w:r>
          </w:p>
        </w:tc>
      </w:tr>
      <w:tr>
        <w:tc>
          <w:tcPr>
            <w:tcW w:type="dxa" w:w="22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Platform/RKE2/Rancher/Longhorn</w:t>
            </w:r>
          </w:p>
        </w:tc>
        <w:tc>
          <w:tcPr>
            <w:tcW w:type="dxa" w:w="30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DevOps / Platform Operations</w:t>
            </w:r>
          </w:p>
        </w:tc>
        <w:tc>
          <w:tcPr>
            <w:tcW w:type="dxa" w:w="396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Node health, cluster control plane, ingress controller, Longhorn failures, namespace capacity.</w:t>
            </w:r>
          </w:p>
        </w:tc>
      </w:tr>
      <w:tr>
        <w:tc>
          <w:tcPr>
            <w:tcW w:type="dxa" w:w="22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Application/API/workers</w:t>
            </w:r>
          </w:p>
        </w:tc>
        <w:tc>
          <w:tcPr>
            <w:tcW w:type="dxa" w:w="30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CymBuild Development</w:t>
            </w:r>
          </w:p>
        </w:tc>
        <w:tc>
          <w:tcPr>
            <w:tcW w:type="dxa" w:w="396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Error rate, failed readiness, request latency, outbox backlog, automation failures.</w:t>
            </w:r>
          </w:p>
        </w:tc>
      </w:tr>
      <w:tr>
        <w:tc>
          <w:tcPr>
            <w:tcW w:type="dxa" w:w="22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Kafka platform</w:t>
            </w:r>
          </w:p>
        </w:tc>
        <w:tc>
          <w:tcPr>
            <w:tcW w:type="dxa" w:w="30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DevOps / Data Engineering according to service boundary</w:t>
            </w:r>
          </w:p>
        </w:tc>
        <w:tc>
          <w:tcPr>
            <w:tcW w:type="dxa" w:w="396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Broker/operator health, unavailable topics, consumer lag and access failures.</w:t>
            </w:r>
          </w:p>
        </w:tc>
      </w:tr>
      <w:tr>
        <w:tc>
          <w:tcPr>
            <w:tcW w:type="dxa" w:w="22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Business workflow/invoicing</w:t>
            </w:r>
          </w:p>
        </w:tc>
        <w:tc>
          <w:tcPr>
            <w:tcW w:type="dxa" w:w="30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CymBuild Development with business support ownership</w:t>
            </w:r>
          </w:p>
        </w:tc>
        <w:tc>
          <w:tcPr>
            <w:tcW w:type="dxa" w:w="396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Stuck workflow transitions, failed automation, invoice trigger exceptions.</w:t>
            </w:r>
          </w:p>
        </w:tc>
      </w:tr>
      <w:tr>
        <w:tc>
          <w:tcPr>
            <w:tcW w:type="dxa" w:w="22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External integrations</w:t>
            </w:r>
          </w:p>
        </w:tc>
        <w:tc>
          <w:tcPr>
            <w:tcW w:type="dxa" w:w="30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Owning Wrapper/external-service team plus CymBuild integration owner</w:t>
            </w:r>
          </w:p>
        </w:tc>
        <w:tc>
          <w:tcPr>
            <w:tcW w:type="dxa" w:w="396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Sage Wrapper/API failures, retry exhaustion, authentication failures and dead-letter conditions.</w:t>
            </w:r>
          </w:p>
        </w:tc>
      </w:tr>
    </w:tbl>
    <w:p>
      <w:pPr>
        <w:spacing w:after="20"/>
      </w:pPr>
    </w:p>
    <w:p>
      <w:pPr>
        <w:pStyle w:val="Heading2"/>
      </w:pPr>
      <w:r>
        <w:t>8.3 Standard troubleshooting path</w:t>
      </w:r>
    </w:p>
    <w:p>
      <w:pPr>
        <w:spacing w:after="80"/>
        <w:ind w:left="317" w:hanging="259"/>
      </w:pPr>
      <w:r>
        <w:t>1. Detect: confirm the alert/user symptom and affected environment/release.</w:t>
      </w:r>
    </w:p>
    <w:p>
      <w:pPr>
        <w:spacing w:after="80"/>
        <w:ind w:left="317" w:hanging="259"/>
      </w:pPr>
      <w:r>
        <w:t>2. Triage: determine blast radius, business impact and whether the workload is stateful.</w:t>
      </w:r>
    </w:p>
    <w:p>
      <w:pPr>
        <w:spacing w:after="80"/>
        <w:ind w:left="317" w:hanging="259"/>
      </w:pPr>
      <w:r>
        <w:t>3. Trace: follow the request or event path end to end. Check events, Pod configuration, Secret/ConfigMap references, probes, labels, EndpointSlices, Service, Ingress, SQL, workflow, outbox and integration.</w:t>
      </w:r>
    </w:p>
    <w:p>
      <w:pPr>
        <w:spacing w:after="80"/>
        <w:ind w:left="317" w:hanging="259"/>
      </w:pPr>
      <w:r>
        <w:t>4. Recover: choose the lowest-risk deterministic action. Avoid deleting stateful Pods or changing production manually without an approved recovery plan.</w:t>
      </w:r>
    </w:p>
    <w:p>
      <w:pPr>
        <w:spacing w:after="80"/>
        <w:ind w:left="317" w:hanging="259"/>
      </w:pPr>
      <w:r>
        <w:t>5. Learn: record root cause, evidence, corrective source change, missing telemetry and runbook update.</w:t>
      </w:r>
    </w:p>
    <w:p>
      <w:pPr>
        <w:pStyle w:val="Heading1"/>
      </w:pPr>
      <w:r>
        <w:t>9. Test and quality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088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Test layer</w:t>
            </w:r>
          </w:p>
        </w:tc>
        <w:tc>
          <w:tcPr>
            <w:tcW w:type="dxa" w:w="3384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Purpose</w:t>
            </w:r>
          </w:p>
        </w:tc>
        <w:tc>
          <w:tcPr>
            <w:tcW w:type="dxa" w:w="3816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Required additions / confirmation</w:t>
            </w:r>
          </w:p>
        </w:tc>
      </w:tr>
      <w:tr>
        <w:tc>
          <w:tcPr>
            <w:tcW w:type="dxa" w:w="20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Compile and architecture tests</w:t>
            </w:r>
          </w:p>
        </w:tc>
        <w:tc>
          <w:tcPr>
            <w:tcW w:type="dxa" w:w="33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Prevent forbidden dependency paths and invalid platform patterns.</w:t>
            </w:r>
          </w:p>
        </w:tc>
        <w:tc>
          <w:tcPr>
            <w:tcW w:type="dxa" w:w="38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Automate UI -&gt; FormHelper -&gt; gRPC -&gt; EF -&gt; SQL boundary checks and prohibited direct status changes.</w:t>
            </w:r>
          </w:p>
        </w:tc>
      </w:tr>
      <w:tr>
        <w:tc>
          <w:tcPr>
            <w:tcW w:type="dxa" w:w="20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Unit tests</w:t>
            </w:r>
          </w:p>
        </w:tc>
        <w:tc>
          <w:tcPr>
            <w:tcW w:type="dxa" w:w="33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Deterministic business rules and mapping behaviour.</w:t>
            </w:r>
          </w:p>
        </w:tc>
        <w:tc>
          <w:tcPr>
            <w:tcW w:type="dxa" w:w="38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Inventory coverage and prioritise workflow, DataObjects and idempotency.</w:t>
            </w:r>
          </w:p>
        </w:tc>
      </w:tr>
      <w:tr>
        <w:tc>
          <w:tcPr>
            <w:tcW w:type="dxa" w:w="20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API/gRPC tests</w:t>
            </w:r>
          </w:p>
        </w:tc>
        <w:tc>
          <w:tcPr>
            <w:tcW w:type="dxa" w:w="33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Contracts, validation, authentication and error handling.</w:t>
            </w:r>
          </w:p>
        </w:tc>
        <w:tc>
          <w:tcPr>
            <w:tcW w:type="dxa" w:w="38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Exercise backward compatibility and versioned contracts.</w:t>
            </w:r>
          </w:p>
        </w:tc>
      </w:tr>
      <w:tr>
        <w:tc>
          <w:tcPr>
            <w:tcW w:type="dxa" w:w="20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SQL integration tests</w:t>
            </w:r>
          </w:p>
        </w:tc>
        <w:tc>
          <w:tcPr>
            <w:tcW w:type="dxa" w:w="33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Schema runner, stored procedures, workflow transitions and DataObjects invariants.</w:t>
            </w:r>
          </w:p>
        </w:tc>
        <w:tc>
          <w:tcPr>
            <w:tcW w:type="dxa" w:w="38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Use an isolated disposable database target; fix current runner/configuration issues before pipeline gating.</w:t>
            </w:r>
          </w:p>
        </w:tc>
      </w:tr>
      <w:tr>
        <w:tc>
          <w:tcPr>
            <w:tcW w:type="dxa" w:w="20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Migration tests</w:t>
            </w:r>
          </w:p>
        </w:tc>
        <w:tc>
          <w:tcPr>
            <w:tcW w:type="dxa" w:w="33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Idempotency and repeatability of schema and metadata apply.</w:t>
            </w:r>
          </w:p>
        </w:tc>
        <w:tc>
          <w:tcPr>
            <w:tcW w:type="dxa" w:w="38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Run apply twice, compare final state and prove no duplicate metadata/DataObjects.</w:t>
            </w:r>
          </w:p>
        </w:tc>
      </w:tr>
      <w:tr>
        <w:tc>
          <w:tcPr>
            <w:tcW w:type="dxa" w:w="20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Container tests</w:t>
            </w:r>
          </w:p>
        </w:tc>
        <w:tc>
          <w:tcPr>
            <w:tcW w:type="dxa" w:w="33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Image startup, non-root compatibility, configuration and health endpoints.</w:t>
            </w:r>
          </w:p>
        </w:tc>
        <w:tc>
          <w:tcPr>
            <w:tcW w:type="dxa" w:w="38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Run in Podman locally and pipeline runtime.</w:t>
            </w:r>
          </w:p>
        </w:tc>
      </w:tr>
      <w:tr>
        <w:tc>
          <w:tcPr>
            <w:tcW w:type="dxa" w:w="20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Kubernetes smoke tests</w:t>
            </w:r>
          </w:p>
        </w:tc>
        <w:tc>
          <w:tcPr>
            <w:tcW w:type="dxa" w:w="33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Probes, Services, EndpointSlices, Ingress, Secrets/ConfigMaps and resource limits.</w:t>
            </w:r>
          </w:p>
        </w:tc>
        <w:tc>
          <w:tcPr>
            <w:tcW w:type="dxa" w:w="38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Use a diagnostic client Pod and external route test.</w:t>
            </w:r>
          </w:p>
        </w:tc>
      </w:tr>
      <w:tr>
        <w:tc>
          <w:tcPr>
            <w:tcW w:type="dxa" w:w="20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Business journey tests</w:t>
            </w:r>
          </w:p>
        </w:tc>
        <w:tc>
          <w:tcPr>
            <w:tcW w:type="dxa" w:w="33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Critical enquiry-to-invoice lifecycle and authentication/session behaviour.</w:t>
            </w:r>
          </w:p>
        </w:tc>
        <w:tc>
          <w:tcPr>
            <w:tcW w:type="dxa" w:w="38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Define minimum QA/UAT suite with business owners.</w:t>
            </w:r>
          </w:p>
        </w:tc>
      </w:tr>
      <w:tr>
        <w:tc>
          <w:tcPr>
            <w:tcW w:type="dxa" w:w="20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Resilience tests</w:t>
            </w:r>
          </w:p>
        </w:tc>
        <w:tc>
          <w:tcPr>
            <w:tcW w:type="dxa" w:w="33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Worker retry, duplicate event, restart and dependency outage behaviour.</w:t>
            </w:r>
          </w:p>
        </w:tc>
        <w:tc>
          <w:tcPr>
            <w:tcW w:type="dxa" w:w="38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Prove outbox/idempotency and singleton/concurrency controls.</w:t>
            </w:r>
          </w:p>
        </w:tc>
      </w:tr>
    </w:tbl>
    <w:p>
      <w:pPr>
        <w:spacing w:after="20"/>
      </w:pPr>
    </w:p>
    <w:p>
      <w:pPr>
        <w:pStyle w:val="Heading1"/>
      </w:pPr>
      <w:r>
        <w:t>10. Implementation work packages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648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WP</w:t>
            </w:r>
          </w:p>
        </w:tc>
        <w:tc>
          <w:tcPr>
            <w:tcW w:type="dxa" w:w="2088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Work package</w:t>
            </w:r>
          </w:p>
        </w:tc>
        <w:tc>
          <w:tcPr>
            <w:tcW w:type="dxa" w:w="4752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Scope</w:t>
            </w:r>
          </w:p>
        </w:tc>
        <w:tc>
          <w:tcPr>
            <w:tcW w:type="dxa" w:w="2016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Exit criterion</w:t>
            </w:r>
          </w:p>
        </w:tc>
      </w:tr>
      <w:tr>
        <w:tc>
          <w:tcPr>
            <w:tcW w:type="dxa" w:w="6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WP0</w:t>
            </w:r>
          </w:p>
        </w:tc>
        <w:tc>
          <w:tcPr>
            <w:tcW w:type="dxa" w:w="20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Baseline and governance freeze</w:t>
            </w:r>
          </w:p>
        </w:tc>
        <w:tc>
          <w:tcPr>
            <w:tcW w:type="dxa" w:w="47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Confirm repository/branch/commit, active schema/metadata tooling, release naming, owners and decision register. Produce a signed-off source baseline.</w:t>
            </w:r>
          </w:p>
        </w:tc>
        <w:tc>
          <w:tcPr>
            <w:tcW w:type="dxa" w:w="20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No containerisation against an unverified source baseline.</w:t>
            </w:r>
          </w:p>
        </w:tc>
      </w:tr>
      <w:tr>
        <w:tc>
          <w:tcPr>
            <w:tcW w:type="dxa" w:w="6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WP1</w:t>
            </w:r>
          </w:p>
        </w:tc>
        <w:tc>
          <w:tcPr>
            <w:tcW w:type="dxa" w:w="20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Security and source hygiene</w:t>
            </w:r>
          </w:p>
        </w:tc>
        <w:tc>
          <w:tcPr>
            <w:tcW w:type="dxa" w:w="47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Remove generated output, secrets, certificates and client-side secret usage; rotate exposed credentials; add scanning.</w:t>
            </w:r>
          </w:p>
        </w:tc>
        <w:tc>
          <w:tcPr>
            <w:tcW w:type="dxa" w:w="20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Critical secret findings closed.</w:t>
            </w:r>
          </w:p>
        </w:tc>
      </w:tr>
      <w:tr>
        <w:tc>
          <w:tcPr>
            <w:tcW w:type="dxa" w:w="6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WP2</w:t>
            </w:r>
          </w:p>
        </w:tc>
        <w:tc>
          <w:tcPr>
            <w:tcW w:type="dxa" w:w="20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Runtime classification and worker separation</w:t>
            </w:r>
          </w:p>
        </w:tc>
        <w:tc>
          <w:tcPr>
            <w:tcW w:type="dxa" w:w="47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rial" w:hAnsi="Arial"/>
                <w:b w:val="0"/>
                <w:sz w:val="15"/>
              </w:rPr>
              <w:t>Catalogue executables/hosted services, decide API vs worker boundaries, singleton/concurrency needs and integration ownership. Record Sage Wrapper as active external dependency and exclude retained Sage microservice projects.</w:t>
            </w:r>
          </w:p>
        </w:tc>
        <w:tc>
          <w:tcPr>
            <w:tcW w:type="dxa" w:w="20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Approved deployable component map.</w:t>
            </w:r>
          </w:p>
        </w:tc>
      </w:tr>
      <w:tr>
        <w:tc>
          <w:tcPr>
            <w:tcW w:type="dxa" w:w="6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WP3</w:t>
            </w:r>
          </w:p>
        </w:tc>
        <w:tc>
          <w:tcPr>
            <w:tcW w:type="dxa" w:w="20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Production Dockerfiles</w:t>
            </w:r>
          </w:p>
        </w:tc>
        <w:tc>
          <w:tcPr>
            <w:tcW w:type="dxa" w:w="47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Create multi-stage Dockerfiles per deployable, correct runtime versions, non-root where compatible, health endpoints and deterministic build contexts.</w:t>
            </w:r>
          </w:p>
        </w:tc>
        <w:tc>
          <w:tcPr>
            <w:tcW w:type="dxa" w:w="20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Images build and run locally through Podman with no behaviour loss.</w:t>
            </w:r>
          </w:p>
        </w:tc>
      </w:tr>
      <w:tr>
        <w:tc>
          <w:tcPr>
            <w:tcW w:type="dxa" w:w="6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WP4</w:t>
            </w:r>
          </w:p>
        </w:tc>
        <w:tc>
          <w:tcPr>
            <w:tcW w:type="dxa" w:w="20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Kubernetes base and environment overlays</w:t>
            </w:r>
          </w:p>
        </w:tc>
        <w:tc>
          <w:tcPr>
            <w:tcW w:type="dxa" w:w="47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Create Deployments, Services, Ingress, ConfigMaps, Secret references, RBAC, NetworkPolicies, resources, probes and monitoring resources.</w:t>
            </w:r>
          </w:p>
        </w:tc>
        <w:tc>
          <w:tcPr>
            <w:tcW w:type="dxa" w:w="20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QA manifests validate and deploy declaratively.</w:t>
            </w:r>
          </w:p>
        </w:tc>
      </w:tr>
      <w:tr>
        <w:tc>
          <w:tcPr>
            <w:tcW w:type="dxa" w:w="6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WP5</w:t>
            </w:r>
          </w:p>
        </w:tc>
        <w:tc>
          <w:tcPr>
            <w:tcW w:type="dxa" w:w="20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Bitbucket pipeline foundation</w:t>
            </w:r>
          </w:p>
        </w:tc>
        <w:tc>
          <w:tcPr>
            <w:tcW w:type="dxa" w:w="47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Self-hosted runner execution, restore/build/test/scan, registry authentication, immutable tagging/digests, artifacts and deployment variables.</w:t>
            </w:r>
          </w:p>
        </w:tc>
        <w:tc>
          <w:tcPr>
            <w:tcW w:type="dxa" w:w="20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QA build and image publication repeatable.</w:t>
            </w:r>
          </w:p>
        </w:tc>
      </w:tr>
      <w:tr>
        <w:tc>
          <w:tcPr>
            <w:tcW w:type="dxa" w:w="6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WP6</w:t>
            </w:r>
          </w:p>
        </w:tc>
        <w:tc>
          <w:tcPr>
            <w:tcW w:type="dxa" w:w="20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Schema and metadata pipeline integration</w:t>
            </w:r>
          </w:p>
        </w:tc>
        <w:tc>
          <w:tcPr>
            <w:tcW w:type="dxa" w:w="47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rial" w:hAnsi="Arial"/>
                <w:b w:val="0"/>
                <w:sz w:val="15"/>
              </w:rPr>
              <w:t>Package the R39 bootstrap/exclusion process, R40 schema runner and metadata tooling as controlled steps/Jobs with locks, evidence, acceptance and verification.</w:t>
            </w:r>
          </w:p>
        </w:tc>
        <w:tc>
          <w:tcPr>
            <w:tcW w:type="dxa" w:w="20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End-to-end QA database deployment passes twice idempotently.</w:t>
            </w:r>
          </w:p>
        </w:tc>
      </w:tr>
      <w:tr>
        <w:tc>
          <w:tcPr>
            <w:tcW w:type="dxa" w:w="6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WP7</w:t>
            </w:r>
          </w:p>
        </w:tc>
        <w:tc>
          <w:tcPr>
            <w:tcW w:type="dxa" w:w="20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QA deployment and smoke automation</w:t>
            </w:r>
          </w:p>
        </w:tc>
        <w:tc>
          <w:tcPr>
            <w:tcW w:type="dxa" w:w="47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Deploy to shared platform DEV/QA, validate routing, dependencies, workflow, outbox and monitoring.</w:t>
            </w:r>
          </w:p>
        </w:tc>
        <w:tc>
          <w:tcPr>
            <w:tcW w:type="dxa" w:w="20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Automated QA evidence and stable soak.</w:t>
            </w:r>
          </w:p>
        </w:tc>
      </w:tr>
      <w:tr>
        <w:tc>
          <w:tcPr>
            <w:tcW w:type="dxa" w:w="6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WP8</w:t>
            </w:r>
          </w:p>
        </w:tc>
        <w:tc>
          <w:tcPr>
            <w:tcW w:type="dxa" w:w="20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Observability and runbooks</w:t>
            </w:r>
          </w:p>
        </w:tc>
        <w:tc>
          <w:tcPr>
            <w:tcW w:type="dxa" w:w="47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Dashboards, alerts, logs/traces, release markers and Detect-Triage-Trace-Recover-Learn runbooks.</w:t>
            </w:r>
          </w:p>
        </w:tc>
        <w:tc>
          <w:tcPr>
            <w:tcW w:type="dxa" w:w="20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Alerts route to named owners and smoke failures are diagnosable.</w:t>
            </w:r>
          </w:p>
        </w:tc>
      </w:tr>
      <w:tr>
        <w:tc>
          <w:tcPr>
            <w:tcW w:type="dxa" w:w="6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WP9</w:t>
            </w:r>
          </w:p>
        </w:tc>
        <w:tc>
          <w:tcPr>
            <w:tcW w:type="dxa" w:w="20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UAT promotion</w:t>
            </w:r>
          </w:p>
        </w:tc>
        <w:tc>
          <w:tcPr>
            <w:tcW w:type="dxa" w:w="47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Promote identical digests, controlled DB/metadata changes and business test support.</w:t>
            </w:r>
          </w:p>
        </w:tc>
        <w:tc>
          <w:tcPr>
            <w:tcW w:type="dxa" w:w="20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UAT sign-off and rollback/recovery rehearsal.</w:t>
            </w:r>
          </w:p>
        </w:tc>
      </w:tr>
      <w:tr>
        <w:tc>
          <w:tcPr>
            <w:tcW w:type="dxa" w:w="6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WP10</w:t>
            </w:r>
          </w:p>
        </w:tc>
        <w:tc>
          <w:tcPr>
            <w:tcW w:type="dxa" w:w="20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LIVE readiness and controlled launch</w:t>
            </w:r>
          </w:p>
        </w:tc>
        <w:tc>
          <w:tcPr>
            <w:tcW w:type="dxa" w:w="47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Change approval, restricted credentials, release communications, monitoring, support rota and post-deployment verification.</w:t>
            </w:r>
          </w:p>
        </w:tc>
        <w:tc>
          <w:tcPr>
            <w:tcW w:type="dxa" w:w="20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Go-live approval with all critical unknowns closed.</w:t>
            </w:r>
          </w:p>
        </w:tc>
      </w:tr>
      <w:tr>
        <w:tc>
          <w:tcPr>
            <w:tcW w:type="dxa" w:w="6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WP11</w:t>
            </w:r>
          </w:p>
        </w:tc>
        <w:tc>
          <w:tcPr>
            <w:tcW w:type="dxa" w:w="20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BAU and continuous improvement</w:t>
            </w:r>
          </w:p>
        </w:tc>
        <w:tc>
          <w:tcPr>
            <w:tcW w:type="dxa" w:w="47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Upgrade cadence, vulnerability remediation, capacity review, incident learning and quarterly recovery rehearsal.</w:t>
            </w:r>
          </w:p>
        </w:tc>
        <w:tc>
          <w:tcPr>
            <w:tcW w:type="dxa" w:w="20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Operational ownership transferred and measured.</w:t>
            </w:r>
          </w:p>
        </w:tc>
      </w:tr>
    </w:tbl>
    <w:p>
      <w:pPr>
        <w:spacing w:after="20"/>
      </w:pPr>
    </w:p>
    <w:p>
      <w:pPr>
        <w:pStyle w:val="Heading1"/>
      </w:pPr>
      <w:r>
        <w:t>11. Unknowns and decision register</w:t>
      </w:r>
    </w:p>
    <w:p>
      <w:r>
        <w:t>These items are intentionally unresolved. They are not blockers to every work package, but each must be closed before the dependent environment or release gate.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576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ID</w:t>
            </w:r>
          </w:p>
        </w:tc>
        <w:tc>
          <w:tcPr>
            <w:tcW w:type="dxa" w:w="1944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Decision</w:t>
            </w:r>
          </w:p>
        </w:tc>
        <w:tc>
          <w:tcPr>
            <w:tcW w:type="dxa" w:w="4536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rial" w:hAnsi="Arial"/>
                <w:b/>
                <w:sz w:val="14"/>
              </w:rPr>
              <w:t>Status / unknown / evidence required</w:t>
            </w:r>
          </w:p>
        </w:tc>
        <w:tc>
          <w:tcPr>
            <w:tcW w:type="dxa" w:w="1656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Owner</w:t>
            </w:r>
          </w:p>
        </w:tc>
        <w:tc>
          <w:tcPr>
            <w:tcW w:type="dxa" w:w="1224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Required by</w:t>
            </w:r>
          </w:p>
        </w:tc>
      </w:tr>
      <w:tr>
        <w:tc>
          <w:tcPr>
            <w:tcW w:type="dxa" w:w="5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U01</w:t>
            </w:r>
          </w:p>
        </w:tc>
        <w:tc>
          <w:tcPr>
            <w:tcW w:type="dxa" w:w="19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Authoritative Git source</w:t>
            </w:r>
          </w:p>
        </w:tc>
        <w:tc>
          <w:tcPr>
            <w:tcW w:type="dxa" w:w="453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rial" w:hAnsi="Arial"/>
                <w:b w:val="0"/>
                <w:sz w:val="14"/>
              </w:rPr>
              <w:t>RESOLVED 2026-08-06: Bitbucket esgdevelopers/cymbuild_monorepo; branch feature/SB_Kubenetes; commit 1b6061621b4c25731955979b0085a3e0928fdacb. Archive remains supporting evidence only.</w:t>
            </w:r>
          </w:p>
        </w:tc>
        <w:tc>
          <w:tcPr>
            <w:tcW w:type="dxa" w:w="165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rial" w:hAnsi="Arial"/>
                <w:b w:val="0"/>
                <w:sz w:val="14"/>
              </w:rPr>
              <w:t>Development lead</w:t>
            </w:r>
          </w:p>
        </w:tc>
        <w:tc>
          <w:tcPr>
            <w:tcW w:type="dxa" w:w="12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rial" w:hAnsi="Arial"/>
                <w:b w:val="0"/>
                <w:sz w:val="14"/>
              </w:rPr>
              <w:t>Resolved for WP0</w:t>
            </w:r>
          </w:p>
        </w:tc>
      </w:tr>
      <w:tr>
        <w:tc>
          <w:tcPr>
            <w:tcW w:type="dxa" w:w="5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U02</w:t>
            </w:r>
          </w:p>
        </w:tc>
        <w:tc>
          <w:tcPr>
            <w:tcW w:type="dxa" w:w="19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Bitbucket platform and runner</w:t>
            </w:r>
          </w:p>
        </w:tc>
        <w:tc>
          <w:tcPr>
            <w:tcW w:type="dxa" w:w="453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Bitbucket Cloud or Data Center; runner OS, capacity, network reachability, Docker/Podman/build tooling and high-availability expectations.</w:t>
            </w:r>
          </w:p>
        </w:tc>
        <w:tc>
          <w:tcPr>
            <w:tcW w:type="dxa" w:w="165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DevOps</w:t>
            </w:r>
          </w:p>
        </w:tc>
        <w:tc>
          <w:tcPr>
            <w:tcW w:type="dxa" w:w="12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WP5</w:t>
            </w:r>
          </w:p>
        </w:tc>
      </w:tr>
      <w:tr>
        <w:tc>
          <w:tcPr>
            <w:tcW w:type="dxa" w:w="5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U03</w:t>
            </w:r>
          </w:p>
        </w:tc>
        <w:tc>
          <w:tcPr>
            <w:tcW w:type="dxa" w:w="19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Registry controls</w:t>
            </w:r>
          </w:p>
        </w:tc>
        <w:tc>
          <w:tcPr>
            <w:tcW w:type="dxa" w:w="453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Robot account, internal CA trust, repository naming, retention, vulnerability scanning, signing and pull-secret ownership for docker.socotec.co.uk.</w:t>
            </w:r>
          </w:p>
        </w:tc>
        <w:tc>
          <w:tcPr>
            <w:tcW w:type="dxa" w:w="165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DevOps / Security</w:t>
            </w:r>
          </w:p>
        </w:tc>
        <w:tc>
          <w:tcPr>
            <w:tcW w:type="dxa" w:w="12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WP3-WP5</w:t>
            </w:r>
          </w:p>
        </w:tc>
      </w:tr>
      <w:tr>
        <w:tc>
          <w:tcPr>
            <w:tcW w:type="dxa" w:w="5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U04</w:t>
            </w:r>
          </w:p>
        </w:tc>
        <w:tc>
          <w:tcPr>
            <w:tcW w:type="dxa" w:w="19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Kubernetes packaging standard</w:t>
            </w:r>
          </w:p>
        </w:tc>
        <w:tc>
          <w:tcPr>
            <w:tcW w:type="dxa" w:w="453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Kustomize, Helm, Rancher Fleet or other GitOps standard. Proposed default is Kustomize unless a mandated standard exists.</w:t>
            </w:r>
          </w:p>
        </w:tc>
        <w:tc>
          <w:tcPr>
            <w:tcW w:type="dxa" w:w="165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DevOps / Architecture</w:t>
            </w:r>
          </w:p>
        </w:tc>
        <w:tc>
          <w:tcPr>
            <w:tcW w:type="dxa" w:w="12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WP4</w:t>
            </w:r>
          </w:p>
        </w:tc>
      </w:tr>
      <w:tr>
        <w:tc>
          <w:tcPr>
            <w:tcW w:type="dxa" w:w="5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U05</w:t>
            </w:r>
          </w:p>
        </w:tc>
        <w:tc>
          <w:tcPr>
            <w:tcW w:type="dxa" w:w="19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Namespace and RBAC names</w:t>
            </w:r>
          </w:p>
        </w:tc>
        <w:tc>
          <w:tcPr>
            <w:tcW w:type="dxa" w:w="453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Final namespace names, projects, ServiceAccounts and permitted Kubernetes resource verbs per environment.</w:t>
            </w:r>
          </w:p>
        </w:tc>
        <w:tc>
          <w:tcPr>
            <w:tcW w:type="dxa" w:w="165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DevOps</w:t>
            </w:r>
          </w:p>
        </w:tc>
        <w:tc>
          <w:tcPr>
            <w:tcW w:type="dxa" w:w="12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WP4-WP10</w:t>
            </w:r>
          </w:p>
        </w:tc>
      </w:tr>
      <w:tr>
        <w:tc>
          <w:tcPr>
            <w:tcW w:type="dxa" w:w="5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U06</w:t>
            </w:r>
          </w:p>
        </w:tc>
        <w:tc>
          <w:tcPr>
            <w:tcW w:type="dxa" w:w="19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Deployment mechanism</w:t>
            </w:r>
          </w:p>
        </w:tc>
        <w:tc>
          <w:tcPr>
            <w:tcW w:type="dxa" w:w="453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Direct pipeline kubectl apply, Helm/Kustomize invocation, Rancher/Fleet, Argo CD or another approved controller.</w:t>
            </w:r>
          </w:p>
        </w:tc>
        <w:tc>
          <w:tcPr>
            <w:tcW w:type="dxa" w:w="165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DevOps / Architecture</w:t>
            </w:r>
          </w:p>
        </w:tc>
        <w:tc>
          <w:tcPr>
            <w:tcW w:type="dxa" w:w="12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WP4-WP5</w:t>
            </w:r>
          </w:p>
        </w:tc>
      </w:tr>
      <w:tr>
        <w:tc>
          <w:tcPr>
            <w:tcW w:type="dxa" w:w="5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U07</w:t>
            </w:r>
          </w:p>
        </w:tc>
        <w:tc>
          <w:tcPr>
            <w:tcW w:type="dxa" w:w="19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Ingress/DNS/TLS</w:t>
            </w:r>
          </w:p>
        </w:tc>
        <w:tc>
          <w:tcPr>
            <w:tcW w:type="dxa" w:w="453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External and internal hostnames, KEMP virtual services, TLS termination point, certificate ownership, NGINX class and health-check paths.</w:t>
            </w:r>
          </w:p>
        </w:tc>
        <w:tc>
          <w:tcPr>
            <w:tcW w:type="dxa" w:w="165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Network / DevOps / Security</w:t>
            </w:r>
          </w:p>
        </w:tc>
        <w:tc>
          <w:tcPr>
            <w:tcW w:type="dxa" w:w="12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WP4, WP7</w:t>
            </w:r>
          </w:p>
        </w:tc>
      </w:tr>
      <w:tr>
        <w:tc>
          <w:tcPr>
            <w:tcW w:type="dxa" w:w="5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U08</w:t>
            </w:r>
          </w:p>
        </w:tc>
        <w:tc>
          <w:tcPr>
            <w:tcW w:type="dxa" w:w="19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Secret management</w:t>
            </w:r>
          </w:p>
        </w:tc>
        <w:tc>
          <w:tcPr>
            <w:tcW w:type="dxa" w:w="453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Bitbucket secured variables plus Kubernetes Secrets, Sealed Secrets, Vault, External Secrets or another approved platform.</w:t>
            </w:r>
          </w:p>
        </w:tc>
        <w:tc>
          <w:tcPr>
            <w:tcW w:type="dxa" w:w="165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Security / DevOps</w:t>
            </w:r>
          </w:p>
        </w:tc>
        <w:tc>
          <w:tcPr>
            <w:tcW w:type="dxa" w:w="12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WP1, WP4</w:t>
            </w:r>
          </w:p>
        </w:tc>
      </w:tr>
      <w:tr>
        <w:tc>
          <w:tcPr>
            <w:tcW w:type="dxa" w:w="5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U09</w:t>
            </w:r>
          </w:p>
        </w:tc>
        <w:tc>
          <w:tcPr>
            <w:tcW w:type="dxa" w:w="19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SQL authentication and reachability</w:t>
            </w:r>
          </w:p>
        </w:tc>
        <w:tc>
          <w:tcPr>
            <w:tcW w:type="dxa" w:w="453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Runner/Job network route to each SQL environment, authentication identity, certificate trust, permissions and rotation.</w:t>
            </w:r>
          </w:p>
        </w:tc>
        <w:tc>
          <w:tcPr>
            <w:tcW w:type="dxa" w:w="165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DBA / DevOps</w:t>
            </w:r>
          </w:p>
        </w:tc>
        <w:tc>
          <w:tcPr>
            <w:tcW w:type="dxa" w:w="12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WP6</w:t>
            </w:r>
          </w:p>
        </w:tc>
      </w:tr>
      <w:tr>
        <w:tc>
          <w:tcPr>
            <w:tcW w:type="dxa" w:w="5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U10</w:t>
            </w:r>
          </w:p>
        </w:tc>
        <w:tc>
          <w:tcPr>
            <w:tcW w:type="dxa" w:w="19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r/>
            <w:r>
              <w:rPr>
                <w:rFonts w:ascii="Arial" w:hAnsi="Arial"/>
                <w:b w:val="0"/>
                <w:sz w:val="14"/>
              </w:rPr>
              <w:t>Schema source/deployed baseline</w:t>
            </w:r>
          </w:p>
        </w:tc>
        <w:tc>
          <w:tcPr>
            <w:tcW w:type="dxa" w:w="453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r/>
            <w:r>
              <w:rPr>
                <w:rFonts w:ascii="Arial" w:hAnsi="Arial"/>
                <w:b w:val="0"/>
                <w:sz w:val="14"/>
              </w:rPr>
              <w:t>Source is R39 bootstrap/exclusions plus R40 runner/constraints. Obtain evidence of any shared-environment R39/R40 execution and reconcile it with the last independently verified R27 deployment baseline.</w:t>
            </w:r>
          </w:p>
        </w:tc>
        <w:tc>
          <w:tcPr>
            <w:tcW w:type="dxa" w:w="165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Development lead / DBA</w:t>
            </w:r>
          </w:p>
        </w:tc>
        <w:tc>
          <w:tcPr>
            <w:tcW w:type="dxa" w:w="12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WP0, WP6</w:t>
            </w:r>
          </w:p>
        </w:tc>
      </w:tr>
      <w:tr>
        <w:tc>
          <w:tcPr>
            <w:tcW w:type="dxa" w:w="5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U11</w:t>
            </w:r>
          </w:p>
        </w:tc>
        <w:tc>
          <w:tcPr>
            <w:tcW w:type="dxa" w:w="19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Metadata acceptance durability</w:t>
            </w:r>
          </w:p>
        </w:tc>
        <w:tc>
          <w:tcPr>
            <w:tcW w:type="dxa" w:w="453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Confirm the current run-based SMigration process durably records accepted selection/hash at parity with schema governance.</w:t>
            </w:r>
          </w:p>
        </w:tc>
        <w:tc>
          <w:tcPr>
            <w:tcW w:type="dxa" w:w="165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Development lead / DBA</w:t>
            </w:r>
          </w:p>
        </w:tc>
        <w:tc>
          <w:tcPr>
            <w:tcW w:type="dxa" w:w="12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WP6</w:t>
            </w:r>
          </w:p>
        </w:tc>
      </w:tr>
      <w:tr>
        <w:tc>
          <w:tcPr>
            <w:tcW w:type="dxa" w:w="5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U12</w:t>
            </w:r>
          </w:p>
        </w:tc>
        <w:tc>
          <w:tcPr>
            <w:tcW w:type="dxa" w:w="19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Worker decomposition</w:t>
            </w:r>
          </w:p>
        </w:tc>
        <w:tc>
          <w:tcPr>
            <w:tcW w:type="dxa" w:w="453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r/>
            <w:r>
              <w:rPr>
                <w:rFonts w:ascii="Arial" w:hAnsi="Arial"/>
                <w:b w:val="0"/>
                <w:sz w:val="14"/>
              </w:rPr>
              <w:t>Confirm API-hosted worker decomposition, replica/singleton controls and deployment ownership. Sage Wrapper is active external dependency; Sage200Microservice and SageAPI_TEMP_DISABLED are excluded from current deployment.</w:t>
            </w:r>
          </w:p>
        </w:tc>
        <w:tc>
          <w:tcPr>
            <w:tcW w:type="dxa" w:w="165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Development lead / Architecture</w:t>
            </w:r>
          </w:p>
        </w:tc>
        <w:tc>
          <w:tcPr>
            <w:tcW w:type="dxa" w:w="12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WP2-WP4</w:t>
            </w:r>
          </w:p>
        </w:tc>
      </w:tr>
      <w:tr>
        <w:tc>
          <w:tcPr>
            <w:tcW w:type="dxa" w:w="5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U13</w:t>
            </w:r>
          </w:p>
        </w:tc>
        <w:tc>
          <w:tcPr>
            <w:tcW w:type="dxa" w:w="19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PWA hosting model</w:t>
            </w:r>
          </w:p>
        </w:tc>
        <w:tc>
          <w:tcPr>
            <w:tcW w:type="dxa" w:w="453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Static NGINX container, ASP.NET host or approved web hosting; service-worker cache policy, token-expiry handling, redirect URIs and base paths.</w:t>
            </w:r>
          </w:p>
        </w:tc>
        <w:tc>
          <w:tcPr>
            <w:tcW w:type="dxa" w:w="165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Development lead / Security</w:t>
            </w:r>
          </w:p>
        </w:tc>
        <w:tc>
          <w:tcPr>
            <w:tcW w:type="dxa" w:w="12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WP2-WP4</w:t>
            </w:r>
          </w:p>
        </w:tc>
      </w:tr>
      <w:tr>
        <w:tc>
          <w:tcPr>
            <w:tcW w:type="dxa" w:w="5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U14</w:t>
            </w:r>
          </w:p>
        </w:tc>
        <w:tc>
          <w:tcPr>
            <w:tcW w:type="dxa" w:w="19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Runtime support matrix</w:t>
            </w:r>
          </w:p>
        </w:tc>
        <w:tc>
          <w:tcPr>
            <w:tcW w:type="dxa" w:w="453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r/>
            <w:r>
              <w:rPr>
                <w:rFonts w:ascii="Arial" w:hAnsi="Arial"/>
                <w:b w:val="0"/>
                <w:sz w:val="14"/>
              </w:rPr>
              <w:t>Confirm approved .NET 10 base images for active CymBuild projects and the separate .NET 9 PostCodeLookup delivery. Legacy .NET 9 Sage microservice projects are retained but excluded from this release pipeline.</w:t>
            </w:r>
          </w:p>
        </w:tc>
        <w:tc>
          <w:tcPr>
            <w:tcW w:type="dxa" w:w="165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Development lead / Architecture</w:t>
            </w:r>
          </w:p>
        </w:tc>
        <w:tc>
          <w:tcPr>
            <w:tcW w:type="dxa" w:w="12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WP3</w:t>
            </w:r>
          </w:p>
        </w:tc>
      </w:tr>
      <w:tr>
        <w:tc>
          <w:tcPr>
            <w:tcW w:type="dxa" w:w="5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U15</w:t>
            </w:r>
          </w:p>
        </w:tc>
        <w:tc>
          <w:tcPr>
            <w:tcW w:type="dxa" w:w="19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Kafka contract</w:t>
            </w:r>
          </w:p>
        </w:tc>
        <w:tc>
          <w:tcPr>
            <w:tcW w:type="dxa" w:w="453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Topics, partitions, retention, Strimzi KafkaUser, SCRAM/TLS, ACLs, schema/versioning and dead-letter approach.</w:t>
            </w:r>
          </w:p>
        </w:tc>
        <w:tc>
          <w:tcPr>
            <w:tcW w:type="dxa" w:w="165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Development / Data Engineering / DevOps</w:t>
            </w:r>
          </w:p>
        </w:tc>
        <w:tc>
          <w:tcPr>
            <w:tcW w:type="dxa" w:w="12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WP2, WP7</w:t>
            </w:r>
          </w:p>
        </w:tc>
      </w:tr>
      <w:tr>
        <w:tc>
          <w:tcPr>
            <w:tcW w:type="dxa" w:w="5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U16</w:t>
            </w:r>
          </w:p>
        </w:tc>
        <w:tc>
          <w:tcPr>
            <w:tcW w:type="dxa" w:w="19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Persistent storage requirements</w:t>
            </w:r>
          </w:p>
        </w:tc>
        <w:tc>
          <w:tcPr>
            <w:tcW w:type="dxa" w:w="453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Confirm whether any CymBuild container genuinely needs Longhorn/CIFS storage and define backup/restore ownership.</w:t>
            </w:r>
          </w:p>
        </w:tc>
        <w:tc>
          <w:tcPr>
            <w:tcW w:type="dxa" w:w="165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Development / DevOps</w:t>
            </w:r>
          </w:p>
        </w:tc>
        <w:tc>
          <w:tcPr>
            <w:tcW w:type="dxa" w:w="12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WP2, WP4</w:t>
            </w:r>
          </w:p>
        </w:tc>
      </w:tr>
      <w:tr>
        <w:tc>
          <w:tcPr>
            <w:tcW w:type="dxa" w:w="5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U17</w:t>
            </w:r>
          </w:p>
        </w:tc>
        <w:tc>
          <w:tcPr>
            <w:tcW w:type="dxa" w:w="19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Monitoring integration</w:t>
            </w:r>
          </w:p>
        </w:tc>
        <w:tc>
          <w:tcPr>
            <w:tcW w:type="dxa" w:w="453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Prometheus scrape conventions, Loki/Alloy/OTel endpoints, dashboard folders, alert receivers, retention and OpsMon boundary.</w:t>
            </w:r>
          </w:p>
        </w:tc>
        <w:tc>
          <w:tcPr>
            <w:tcW w:type="dxa" w:w="165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DevOps / Development</w:t>
            </w:r>
          </w:p>
        </w:tc>
        <w:tc>
          <w:tcPr>
            <w:tcW w:type="dxa" w:w="12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WP8</w:t>
            </w:r>
          </w:p>
        </w:tc>
      </w:tr>
      <w:tr>
        <w:tc>
          <w:tcPr>
            <w:tcW w:type="dxa" w:w="5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U18</w:t>
            </w:r>
          </w:p>
        </w:tc>
        <w:tc>
          <w:tcPr>
            <w:tcW w:type="dxa" w:w="19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Security gates</w:t>
            </w:r>
          </w:p>
        </w:tc>
        <w:tc>
          <w:tcPr>
            <w:tcW w:type="dxa" w:w="453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Approved scanners, CVE thresholds, exception workflow, SBOM format, signing/attestation requirement and retention.</w:t>
            </w:r>
          </w:p>
        </w:tc>
        <w:tc>
          <w:tcPr>
            <w:tcW w:type="dxa" w:w="165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Security / DevOps</w:t>
            </w:r>
          </w:p>
        </w:tc>
        <w:tc>
          <w:tcPr>
            <w:tcW w:type="dxa" w:w="12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WP5</w:t>
            </w:r>
          </w:p>
        </w:tc>
      </w:tr>
      <w:tr>
        <w:tc>
          <w:tcPr>
            <w:tcW w:type="dxa" w:w="5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U19</w:t>
            </w:r>
          </w:p>
        </w:tc>
        <w:tc>
          <w:tcPr>
            <w:tcW w:type="dxa" w:w="19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Approvals/change control</w:t>
            </w:r>
          </w:p>
        </w:tc>
        <w:tc>
          <w:tcPr>
            <w:tcW w:type="dxa" w:w="453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QA auto-deploy policy, UAT/LIVE approvers, Jira/Bitbucket deployment evidence, maintenance windows and emergency process.</w:t>
            </w:r>
          </w:p>
        </w:tc>
        <w:tc>
          <w:tcPr>
            <w:tcW w:type="dxa" w:w="165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Change Management / DevOps</w:t>
            </w:r>
          </w:p>
        </w:tc>
        <w:tc>
          <w:tcPr>
            <w:tcW w:type="dxa" w:w="12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WP5-WP10</w:t>
            </w:r>
          </w:p>
        </w:tc>
      </w:tr>
      <w:tr>
        <w:tc>
          <w:tcPr>
            <w:tcW w:type="dxa" w:w="5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U20</w:t>
            </w:r>
          </w:p>
        </w:tc>
        <w:tc>
          <w:tcPr>
            <w:tcW w:type="dxa" w:w="19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Rollback and DR ownership</w:t>
            </w:r>
          </w:p>
        </w:tc>
        <w:tc>
          <w:tcPr>
            <w:tcW w:type="dxa" w:w="453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Previous-digest retention, schema-compatible rollback rules, SQL backup/restore process, etcd/Longhorn recovery boundaries and rehearsal cadence.</w:t>
            </w:r>
          </w:p>
        </w:tc>
        <w:tc>
          <w:tcPr>
            <w:tcW w:type="dxa" w:w="165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DBA / DevOps / Development</w:t>
            </w:r>
          </w:p>
        </w:tc>
        <w:tc>
          <w:tcPr>
            <w:tcW w:type="dxa" w:w="12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WP9-WP11</w:t>
            </w:r>
          </w:p>
        </w:tc>
      </w:tr>
      <w:tr>
        <w:tc>
          <w:tcPr>
            <w:tcW w:type="dxa" w:w="5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U21</w:t>
            </w:r>
          </w:p>
        </w:tc>
        <w:tc>
          <w:tcPr>
            <w:tcW w:type="dxa" w:w="19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Production cluster version/cadence</w:t>
            </w:r>
          </w:p>
        </w:tc>
        <w:tc>
          <w:tcPr>
            <w:tcW w:type="dxa" w:w="453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Current supported RKE2/Kubernetes versions and planned upgrade cadence must be confirmed by DevOps rather than inferred from workshop discussion.</w:t>
            </w:r>
          </w:p>
        </w:tc>
        <w:tc>
          <w:tcPr>
            <w:tcW w:type="dxa" w:w="165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DevOps</w:t>
            </w:r>
          </w:p>
        </w:tc>
        <w:tc>
          <w:tcPr>
            <w:tcW w:type="dxa" w:w="12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WP4-WP11</w:t>
            </w:r>
          </w:p>
        </w:tc>
      </w:tr>
      <w:tr>
        <w:tc>
          <w:tcPr>
            <w:tcW w:type="dxa" w:w="5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U22</w:t>
            </w:r>
          </w:p>
        </w:tc>
        <w:tc>
          <w:tcPr>
            <w:tcW w:type="dxa" w:w="19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Visual Studio developer workflow</w:t>
            </w:r>
          </w:p>
        </w:tc>
        <w:tc>
          <w:tcPr>
            <w:tcW w:type="dxa" w:w="453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Visual Studio version, supported Podman integration and standard local workflow under the normal development account.</w:t>
            </w:r>
          </w:p>
        </w:tc>
        <w:tc>
          <w:tcPr>
            <w:tcW w:type="dxa" w:w="165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Development lead / Desktop Engineering</w:t>
            </w:r>
          </w:p>
        </w:tc>
        <w:tc>
          <w:tcPr>
            <w:tcW w:type="dxa" w:w="12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WP3</w:t>
            </w:r>
          </w:p>
        </w:tc>
      </w:tr>
    </w:tbl>
    <w:p>
      <w:pPr>
        <w:spacing w:after="20"/>
      </w:pPr>
    </w:p>
    <w:p>
      <w:pPr>
        <w:pStyle w:val="Heading1"/>
      </w:pPr>
      <w:r>
        <w:t>12. Principal delivery risks and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648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Risk</w:t>
            </w:r>
          </w:p>
        </w:tc>
        <w:tc>
          <w:tcPr>
            <w:tcW w:type="dxa" w:w="2448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2880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Impact</w:t>
            </w:r>
          </w:p>
        </w:tc>
        <w:tc>
          <w:tcPr>
            <w:tcW w:type="dxa" w:w="3888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Mitigation</w:t>
            </w:r>
          </w:p>
        </w:tc>
      </w:tr>
      <w:tr>
        <w:tc>
          <w:tcPr>
            <w:tcW w:type="dxa" w:w="6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R1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rial" w:hAnsi="Arial"/>
                <w:b w:val="0"/>
                <w:sz w:val="15"/>
              </w:rPr>
              <w:t>Source/deployed baseline confusion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rial" w:hAnsi="Arial"/>
                <w:b w:val="0"/>
                <w:sz w:val="15"/>
              </w:rPr>
              <w:t>R40 source may be mistaken for evidence that shared environments are already on R40.</w:t>
            </w:r>
          </w:p>
        </w:tc>
        <w:tc>
          <w:tcPr>
            <w:tcW w:type="dxa" w:w="38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rial" w:hAnsi="Arial"/>
                <w:b w:val="0"/>
                <w:sz w:val="15"/>
              </w:rPr>
              <w:t>Anchor every release to the exact Git commit and retain environment-specific schema run/verification evidence; preserve R27 as the last verified baseline until newer evidence exists.</w:t>
            </w:r>
          </w:p>
        </w:tc>
      </w:tr>
      <w:tr>
        <w:tc>
          <w:tcPr>
            <w:tcW w:type="dxa" w:w="6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R2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Secrets already present in source/history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Credential compromise and unsafe browser exposure.</w:t>
            </w:r>
          </w:p>
        </w:tc>
        <w:tc>
          <w:tcPr>
            <w:tcW w:type="dxa" w:w="38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Immediate inventory, rotation, history/removal plan and automated scanning.</w:t>
            </w:r>
          </w:p>
        </w:tc>
      </w:tr>
      <w:tr>
        <w:tc>
          <w:tcPr>
            <w:tcW w:type="dxa" w:w="6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R3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Hosted workers duplicated by API replicas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rial" w:hAnsi="Arial"/>
                <w:b w:val="0"/>
                <w:sz w:val="15"/>
              </w:rPr>
              <w:t>Duplicate Sage submission, invoice or outbox processing.</w:t>
            </w:r>
          </w:p>
        </w:tc>
        <w:tc>
          <w:tcPr>
            <w:tcW w:type="dxa" w:w="38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Separate workers or implement explicit distributed concurrency controls before scaling API.</w:t>
            </w:r>
          </w:p>
        </w:tc>
      </w:tr>
      <w:tr>
        <w:tc>
          <w:tcPr>
            <w:tcW w:type="dxa" w:w="6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R4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Database change outruns application compatibility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Rollback impossible or partial outage.</w:t>
            </w:r>
          </w:p>
        </w:tc>
        <w:tc>
          <w:tcPr>
            <w:tcW w:type="dxa" w:w="38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Compatibility design, pre-apply validation, same-release evidence and schema-compatible application rollback rules.</w:t>
            </w:r>
          </w:p>
        </w:tc>
      </w:tr>
      <w:tr>
        <w:tc>
          <w:tcPr>
            <w:tcW w:type="dxa" w:w="6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R5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Manual environment drift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Rancher state differs from Git/pipeline.</w:t>
            </w:r>
          </w:p>
        </w:tc>
        <w:tc>
          <w:tcPr>
            <w:tcW w:type="dxa" w:w="38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Declarative source authority, drift checks and emergency-change backfill.</w:t>
            </w:r>
          </w:p>
        </w:tc>
      </w:tr>
      <w:tr>
        <w:tc>
          <w:tcPr>
            <w:tcW w:type="dxa" w:w="6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R6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Broad pipeline credentials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Cross-namespace or cross-environment blast radius.</w:t>
            </w:r>
          </w:p>
        </w:tc>
        <w:tc>
          <w:tcPr>
            <w:tcW w:type="dxa" w:w="38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Namespace-scoped ServiceAccounts/kubeconfigs and environment-specific credentials.</w:t>
            </w:r>
          </w:p>
        </w:tc>
      </w:tr>
      <w:tr>
        <w:tc>
          <w:tcPr>
            <w:tcW w:type="dxa" w:w="6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R7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Incorrect Ingress/Service/probe definitions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Running Pods but unavailable application.</w:t>
            </w:r>
          </w:p>
        </w:tc>
        <w:tc>
          <w:tcPr>
            <w:tcW w:type="dxa" w:w="38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Manifest validation, ready EndpointSlice checks, in-cluster and external smoke tests.</w:t>
            </w:r>
          </w:p>
        </w:tc>
      </w:tr>
      <w:tr>
        <w:tc>
          <w:tcPr>
            <w:tcW w:type="dxa" w:w="6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R8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Unnecessary PVC usage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Longhorn-related instability and scaling constraints.</w:t>
            </w:r>
          </w:p>
        </w:tc>
        <w:tc>
          <w:tcPr>
            <w:tcW w:type="dxa" w:w="38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Stateless-first design review; persistence requires explicit approval and operational plan.</w:t>
            </w:r>
          </w:p>
        </w:tc>
      </w:tr>
      <w:tr>
        <w:tc>
          <w:tcPr>
            <w:tcW w:type="dxa" w:w="6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R9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Registry or SQL connectivity from runners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Pipeline cannot publish or migrate.</w:t>
            </w:r>
          </w:p>
        </w:tc>
        <w:tc>
          <w:tcPr>
            <w:tcW w:type="dxa" w:w="38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Early network/CA/authentication proof-of-connectivity in WP0/WP5.</w:t>
            </w:r>
          </w:p>
        </w:tc>
      </w:tr>
      <w:tr>
        <w:tc>
          <w:tcPr>
            <w:tcW w:type="dxa" w:w="6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R10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Insufficient observability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Failures detected by users and hard to trace.</w:t>
            </w:r>
          </w:p>
        </w:tc>
        <w:tc>
          <w:tcPr>
            <w:tcW w:type="dxa" w:w="38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Telemetry and dashboards are release requirements, not post-launch enhancements.</w:t>
            </w:r>
          </w:p>
        </w:tc>
      </w:tr>
    </w:tbl>
    <w:p>
      <w:pPr>
        <w:spacing w:after="20"/>
      </w:pPr>
    </w:p>
    <w:p>
      <w:pPr>
        <w:pStyle w:val="Heading1"/>
      </w:pPr>
      <w:r>
        <w:t>13. Release readiness and go/no-go criteria</w:t>
      </w:r>
    </w:p>
    <w:p>
      <w:pPr>
        <w:pStyle w:val="Heading2"/>
      </w:pPr>
      <w:r>
        <w:t>13.1 QA entry criteria</w:t>
      </w:r>
    </w:p>
    <w:p>
      <w:pPr>
        <w:pStyle w:val="ListBullet"/>
        <w:spacing w:after="40"/>
      </w:pPr>
      <w:r>
        <w:t>Exact source commit and ReleaseId established.</w:t>
      </w:r>
    </w:p>
    <w:p>
      <w:pPr>
        <w:pStyle w:val="ListBullet"/>
        <w:spacing w:after="40"/>
      </w:pPr>
      <w:r>
        <w:t>Critical secret findings closed or explicitly blocked from deployment.</w:t>
      </w:r>
    </w:p>
    <w:p>
      <w:pPr>
        <w:pStyle w:val="ListBullet"/>
        <w:spacing w:after="40"/>
      </w:pPr>
      <w:r>
        <w:t>All deployable components classified and images built without latest tags.</w:t>
      </w:r>
    </w:p>
    <w:p>
      <w:pPr>
        <w:pStyle w:val="ListBullet"/>
        <w:spacing w:after="40"/>
      </w:pPr>
      <w:r>
        <w:t>Automated tests and architecture validations pass.</w:t>
      </w:r>
    </w:p>
    <w:p>
      <w:pPr>
        <w:pStyle w:val="ListBullet"/>
        <w:spacing w:after="40"/>
      </w:pPr>
      <w:r>
        <w:t>QA namespace, credentials, registry pull and SQL/Kafka connectivity proven.</w:t>
      </w:r>
    </w:p>
    <w:p>
      <w:pPr>
        <w:pStyle w:val="Heading2"/>
      </w:pPr>
      <w:r>
        <w:t>13.2 UAT entry criteria</w:t>
      </w:r>
    </w:p>
    <w:p>
      <w:pPr>
        <w:pStyle w:val="ListBullet"/>
        <w:spacing w:after="40"/>
      </w:pPr>
      <w:r>
        <w:t>QA schema and metadata apply/verify completed with retained evidence.</w:t>
      </w:r>
    </w:p>
    <w:p>
      <w:pPr>
        <w:pStyle w:val="ListBullet"/>
        <w:spacing w:after="40"/>
      </w:pPr>
      <w:r>
        <w:t>Application rollout and smoke tests pass, including ready EndpointSlices and external Ingress route.</w:t>
      </w:r>
    </w:p>
    <w:p>
      <w:pPr>
        <w:pStyle w:val="ListBullet"/>
        <w:spacing w:after="40"/>
      </w:pPr>
      <w:r>
        <w:t>No unresolved critical/high security finding without an approved exception.</w:t>
      </w:r>
    </w:p>
    <w:p>
      <w:pPr>
        <w:pStyle w:val="ListBullet"/>
        <w:spacing w:after="40"/>
      </w:pPr>
      <w:r>
        <w:t>Dashboards, alerts and support runbook are available.</w:t>
      </w:r>
    </w:p>
    <w:p>
      <w:pPr>
        <w:pStyle w:val="ListBullet"/>
        <w:spacing w:after="40"/>
      </w:pPr>
      <w:r>
        <w:t>Same immutable image digests are selected for UAT promotion.</w:t>
      </w:r>
    </w:p>
    <w:p>
      <w:pPr>
        <w:pStyle w:val="Heading2"/>
      </w:pPr>
      <w:r>
        <w:t>13.3 LIVE go/no-go criteria</w:t>
      </w:r>
    </w:p>
    <w:p>
      <w:pPr>
        <w:pStyle w:val="ListBullet"/>
        <w:spacing w:after="40"/>
      </w:pPr>
      <w:r>
        <w:t>All critical decision-register items required by LIVE are closed.</w:t>
      </w:r>
    </w:p>
    <w:p>
      <w:pPr>
        <w:pStyle w:val="ListBullet"/>
        <w:spacing w:after="40"/>
      </w:pPr>
      <w:r>
        <w:t>UAT business sign-off and technical evidence are complete.</w:t>
      </w:r>
    </w:p>
    <w:p>
      <w:pPr>
        <w:pStyle w:val="ListBullet"/>
        <w:spacing w:after="40"/>
      </w:pPr>
      <w:r>
        <w:t>Approved schema/metadata plans, compatibility review and recovery plan are attached to the release.</w:t>
      </w:r>
    </w:p>
    <w:p>
      <w:pPr>
        <w:pStyle w:val="ListBullet"/>
        <w:spacing w:after="40"/>
      </w:pPr>
      <w:r>
        <w:t>LIVE credentials, DNS/TLS, registry pulls, monitoring and support ownership are confirmed.</w:t>
      </w:r>
    </w:p>
    <w:p>
      <w:pPr>
        <w:pStyle w:val="ListBullet"/>
        <w:spacing w:after="40"/>
      </w:pPr>
      <w:r>
        <w:t>Change approval and communications are complete.</w:t>
      </w:r>
    </w:p>
    <w:p>
      <w:pPr>
        <w:pStyle w:val="ListBullet"/>
        <w:spacing w:after="40"/>
      </w:pPr>
      <w:r>
        <w:t>Release can be stopped safely before application rollout if migrations fail.</w:t>
      </w:r>
    </w:p>
    <w:p>
      <w:pPr>
        <w:pStyle w:val="ListBullet"/>
        <w:spacing w:after="40"/>
      </w:pPr>
      <w:r>
        <w:t>Previous compatible application digests remain available and documented.</w:t>
      </w:r>
    </w:p>
    <w:p>
      <w:pPr>
        <w:pStyle w:val="Heading2"/>
      </w:pPr>
      <w:r>
        <w:t>13.4 Definition of done for the CI/CD implementation</w:t>
      </w:r>
    </w:p>
    <w:p>
      <w:pPr>
        <w:pStyle w:val="ListBullet"/>
        <w:spacing w:after="40"/>
      </w:pPr>
      <w:r>
        <w:t>A developer commit can produce one traceable release with immutable images and complete build evidence.</w:t>
      </w:r>
    </w:p>
    <w:p>
      <w:pPr>
        <w:pStyle w:val="ListBullet"/>
        <w:spacing w:after="40"/>
      </w:pPr>
      <w:r>
        <w:t>The same digests are promoted through QA, UAT and LIVE without rebuilding.</w:t>
      </w:r>
    </w:p>
    <w:p>
      <w:pPr>
        <w:pStyle w:val="ListBullet"/>
        <w:spacing w:after="40"/>
      </w:pPr>
      <w:r>
        <w:t>Schema and metadata are deployed through controlled, idempotent, auditable processes with no manual production promotion.</w:t>
      </w:r>
    </w:p>
    <w:p>
      <w:pPr>
        <w:pStyle w:val="ListBullet"/>
        <w:spacing w:after="40"/>
      </w:pPr>
      <w:r>
        <w:t>Kubernetes resources are source-controlled, least-privilege, observable and recoverable.</w:t>
      </w:r>
    </w:p>
    <w:p>
      <w:pPr>
        <w:pStyle w:val="ListBullet"/>
        <w:spacing w:after="40"/>
      </w:pPr>
      <w:r>
        <w:t>Critical business workflows, outbox publication and external integration paths are automatically verified.</w:t>
      </w:r>
    </w:p>
    <w:p>
      <w:pPr>
        <w:pStyle w:val="ListBullet"/>
        <w:spacing w:after="40"/>
      </w:pPr>
      <w:r>
        <w:t>Operations can detect, trace and recover common failures using documented runbooks and telemetry.</w:t>
      </w:r>
    </w:p>
    <w:p>
      <w:pPr>
        <w:pStyle w:val="Heading1"/>
      </w:pPr>
      <w:r>
        <w:t>14. Immediate plan of action</w:t>
      </w:r>
    </w:p>
    <w:p>
      <w:pPr>
        <w:spacing w:after="80"/>
        <w:ind w:left="317" w:hanging="259"/>
      </w:pPr>
      <w:r>
        <w:t>1. Commit the reconciled WP0 baseline against feature/SB_Kubenetes and obtain evidence confirming whether the R39/R40 schema tooling has been exercised successfully in any shared environment.</w:t>
      </w:r>
    </w:p>
    <w:p>
      <w:pPr>
        <w:spacing w:after="80"/>
        <w:ind w:left="317" w:hanging="259"/>
      </w:pPr>
      <w:r>
        <w:t>2. Open the decision register with named owners and target closure dates; prioritise U01-U14 because they govern the initial build and QA deployment.</w:t>
      </w:r>
    </w:p>
    <w:p>
      <w:pPr>
        <w:spacing w:after="80"/>
        <w:ind w:left="317" w:hanging="259"/>
      </w:pPr>
      <w:r>
        <w:t>3. Complete source-secret remediation and rotation before any repository is connected to shared CI.</w:t>
      </w:r>
    </w:p>
    <w:p>
      <w:pPr>
        <w:spacing w:after="80"/>
        <w:ind w:left="317" w:hanging="259"/>
      </w:pPr>
      <w:r>
        <w:t>4. Produce the executable-component inventory and decide worker separation/concurrency.</w:t>
      </w:r>
    </w:p>
    <w:p>
      <w:pPr>
        <w:spacing w:after="80"/>
        <w:ind w:left="317" w:hanging="259"/>
      </w:pPr>
      <w:r>
        <w:t>5. Create one proof-of-concept API image and one worker image using Podman locally, preserving behaviour and correct .NET runtime versions.</w:t>
      </w:r>
    </w:p>
    <w:p>
      <w:pPr>
        <w:spacing w:after="80"/>
        <w:ind w:left="317" w:hanging="259"/>
      </w:pPr>
      <w:r>
        <w:t>6. Prove the self-hosted Bitbucket runner can reach the private registry, QA namespace, QA SQL target and Kafka platform using least-privilege identities.</w:t>
      </w:r>
    </w:p>
    <w:p>
      <w:pPr>
        <w:spacing w:after="80"/>
        <w:ind w:left="317" w:hanging="259"/>
      </w:pPr>
      <w:r>
        <w:t>7. Create the Kubernetes base/QA overlay and deploy a non-production smoke workload with probes, Service, EndpointSlice and Ingress verification.</w:t>
      </w:r>
    </w:p>
    <w:p>
      <w:pPr>
        <w:spacing w:after="80"/>
        <w:ind w:left="317" w:hanging="259"/>
      </w:pPr>
      <w:r>
        <w:t>8. Integrate the schema runner in ValidateOnly/WhatIf mode, then add controlled QA apply and verification.</w:t>
      </w:r>
    </w:p>
    <w:p>
      <w:pPr>
        <w:spacing w:after="80"/>
        <w:ind w:left="317" w:hanging="259"/>
      </w:pPr>
      <w:r>
        <w:t>9. Integrate the run-based metadata lifecycle with accepted selection and verification.</w:t>
      </w:r>
    </w:p>
    <w:p>
      <w:pPr>
        <w:spacing w:after="80"/>
        <w:ind w:left="317" w:hanging="259"/>
      </w:pPr>
      <w:r>
        <w:t>10. Add automated smoke, telemetry and release evidence; then proceed to UAT promotion rehearsal.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CCC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sz w:val="20"/>
              </w:rPr>
              <w:t xml:space="preserve">Do not start with: </w:t>
            </w:r>
            <w:r>
              <w:rPr>
                <w:rFonts w:ascii="Arial" w:hAnsi="Arial"/>
                <w:sz w:val="20"/>
              </w:rPr>
              <w:t>A broad rewrite, direct production database changes, copying the existing placeholder Kubernetes files, embedding secrets, running migrations during API startup, or scaling API replicas before hosted-worker concurrency is resolved.</w:t>
            </w:r>
          </w:p>
        </w:tc>
      </w:tr>
    </w:tbl>
    <w:p>
      <w:pPr>
        <w:spacing w:after="20"/>
      </w:pPr>
    </w:p>
    <w:p>
      <w:pPr>
        <w:pStyle w:val="Heading1"/>
      </w:pPr>
      <w:r>
        <w:t>Appendix A - Proposed release evidence pack</w:t>
      </w:r>
    </w:p>
    <w:p>
      <w:pPr>
        <w:pStyle w:val="ListBullet"/>
        <w:spacing w:after="40"/>
      </w:pPr>
      <w:r>
        <w:t>ReleaseId, Jira reference, Git commit and pull request.</w:t>
      </w:r>
    </w:p>
    <w:p>
      <w:pPr>
        <w:pStyle w:val="ListBullet"/>
        <w:spacing w:after="40"/>
      </w:pPr>
      <w:r>
        <w:t>Build logs, test results, architecture validation and security findings.</w:t>
      </w:r>
    </w:p>
    <w:p>
      <w:pPr>
        <w:pStyle w:val="ListBullet"/>
        <w:spacing w:after="40"/>
      </w:pPr>
      <w:r>
        <w:t>Image names, immutable digests, SBOM and scan/signing evidence.</w:t>
      </w:r>
    </w:p>
    <w:p>
      <w:pPr>
        <w:pStyle w:val="ListBullet"/>
        <w:spacing w:after="40"/>
      </w:pPr>
      <w:r>
        <w:t>Target environment and namespace.</w:t>
      </w:r>
    </w:p>
    <w:p>
      <w:pPr>
        <w:pStyle w:val="ListBullet"/>
        <w:spacing w:after="40"/>
      </w:pPr>
      <w:r>
        <w:t>Schema comparison plan, accepted items, runner version, run ID and verification.</w:t>
      </w:r>
    </w:p>
    <w:p>
      <w:pPr>
        <w:pStyle w:val="ListBullet"/>
        <w:spacing w:after="40"/>
      </w:pPr>
      <w:r>
        <w:t>Metadata run ID, selected/excluded items, acceptance, apply and verification.</w:t>
      </w:r>
    </w:p>
    <w:p>
      <w:pPr>
        <w:pStyle w:val="ListBullet"/>
        <w:spacing w:after="40"/>
      </w:pPr>
      <w:r>
        <w:t>Kubernetes manifest/overlay version and deployment result.</w:t>
      </w:r>
    </w:p>
    <w:p>
      <w:pPr>
        <w:pStyle w:val="ListBullet"/>
        <w:spacing w:after="40"/>
      </w:pPr>
      <w:r>
        <w:t>Smoke-test evidence: probes, Pods, Services, EndpointSlices, Ingress, API, SQL, outbox and integrations.</w:t>
      </w:r>
    </w:p>
    <w:p>
      <w:pPr>
        <w:pStyle w:val="ListBullet"/>
        <w:spacing w:after="40"/>
      </w:pPr>
      <w:r>
        <w:t>Approvals, release timestamps, monitoring links, exceptions and follow-up actions.</w:t>
      </w:r>
    </w:p>
    <w:p>
      <w:pPr>
        <w:pStyle w:val="Heading1"/>
      </w:pPr>
      <w:r>
        <w:t>Appendix B - Workshop evidence integrated</w:t>
      </w:r>
    </w:p>
    <w:p>
      <w:r>
        <w:t>The final plan incorporates the following confirmed workshop themes: Podman/Minikube variability and the reliability of Hyper-V for local Kubernetes; internal Service and EndpointSlice diagnosis; Ingress controller and port mapping; ConfigMap/Secret dependencies; stateless-first design and Longhorn/PVC operational risks; namespace-scoped pipeline credentials; private-registry image delivery; Prometheus/Alertmanager/Grafana/OpsMon monitoring; and the Detect-Triage-Trace-Recover-Learn operating method.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528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5976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Use in this plan</w:t>
            </w:r>
          </w:p>
        </w:tc>
      </w:tr>
      <w:tr>
        <w:tc>
          <w:tcPr>
            <w:tcW w:type="dxa" w:w="35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08-05 Kubernetes &amp; Core Systems Deep Dive</w:t>
            </w:r>
          </w:p>
        </w:tc>
        <w:tc>
          <w:tcPr>
            <w:tcW w:type="dxa" w:w="59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SOCOTEC platform, ownership, Bitbucket runner/private registry flow, RKE2/Rancher/Longhorn/Kafka/Airflow, monitoring and operational cadence.</w:t>
            </w:r>
          </w:p>
        </w:tc>
      </w:tr>
      <w:tr>
        <w:tc>
          <w:tcPr>
            <w:tcW w:type="dxa" w:w="35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08-05 Kubernetes Deployments, Ingress Troubleshooting and Security</w:t>
            </w:r>
          </w:p>
        </w:tc>
        <w:tc>
          <w:tcPr>
            <w:tcW w:type="dxa" w:w="59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ConfigMaps, Secrets, CreateContainerConfigError, Service/Ingress troubleshooting, RKE2 security, etcd and manifest authority.</w:t>
            </w:r>
          </w:p>
        </w:tc>
      </w:tr>
      <w:tr>
        <w:tc>
          <w:tcPr>
            <w:tcW w:type="dxa" w:w="35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08-06 Kubernetes DevOps - Networking, Storage and CI/CD</w:t>
            </w:r>
          </w:p>
        </w:tc>
        <w:tc>
          <w:tcPr>
            <w:tcW w:type="dxa" w:w="59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Podman/Hyper-V findings, selectors/labels, PVC persistence, namespace-scoped kubeconfig, private-registry delivery, statelessness and observability.</w:t>
            </w:r>
          </w:p>
        </w:tc>
      </w:tr>
      <w:tr>
        <w:tc>
          <w:tcPr>
            <w:tcW w:type="dxa" w:w="35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Prior CymBuild source and schema analysis in this project</w:t>
            </w:r>
          </w:p>
        </w:tc>
        <w:tc>
          <w:tcPr>
            <w:tcW w:type="dxa" w:w="59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r/>
            <w:r>
              <w:rPr>
                <w:rFonts w:ascii="Arial" w:hAnsi="Arial"/>
                <w:b w:val="0"/>
                <w:sz w:val="16"/>
              </w:rPr>
              <w:t>Architecture invariants, schema/metadata lifecycle, R39/R40 source versus R27 deployed-baseline distinction, Sage Wrapper correction, security findings, deployable project inventory and placeholder deployment gaps.</w:t>
            </w:r>
          </w:p>
        </w:tc>
      </w:tr>
    </w:tbl>
    <w:p>
      <w:pPr>
        <w:spacing w:after="20"/>
      </w:pPr>
    </w:p>
    <w:p>
      <w:pPr>
        <w:pStyle w:val="Heading1"/>
      </w:pPr>
      <w:r>
        <w:t>Appendix C - Local developer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7056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Confirmed local standard</w:t>
            </w:r>
          </w:p>
        </w:tc>
      </w:tr>
      <w:tr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Container build/run</w:t>
            </w:r>
          </w:p>
        </w:tc>
        <w:tc>
          <w:tcPr>
            <w:tcW w:type="dxa" w:w="705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Podman Desktop / Podman.</w:t>
            </w:r>
          </w:p>
        </w:tc>
      </w:tr>
      <w:tr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Local Kubernetes</w:t>
            </w:r>
          </w:p>
        </w:tc>
        <w:tc>
          <w:tcPr>
            <w:tcW w:type="dxa" w:w="705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Hyper-V Minikube using the Default Switch and containerd.</w:t>
            </w:r>
          </w:p>
        </w:tc>
      </w:tr>
      <w:tr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Cluster sizing</w:t>
            </w:r>
          </w:p>
        </w:tc>
        <w:tc>
          <w:tcPr>
            <w:tcW w:type="dxa" w:w="705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4 CPUs, 4096 MB memory, 40 GB disk for the workshop baseline; CymBuild sizing must be measured.</w:t>
            </w:r>
          </w:p>
        </w:tc>
      </w:tr>
      <w:tr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Local addons</w:t>
            </w:r>
          </w:p>
        </w:tc>
        <w:tc>
          <w:tcPr>
            <w:tcW w:type="dxa" w:w="705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Ingress and Metrics Server.</w:t>
            </w:r>
          </w:p>
        </w:tc>
      </w:tr>
      <w:tr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Image transfer to Minikube</w:t>
            </w:r>
          </w:p>
        </w:tc>
        <w:tc>
          <w:tcPr>
            <w:tcW w:type="dxa" w:w="705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podman save to OCI archive, then minikube image load, or use an approved local registry workflow.</w:t>
            </w:r>
          </w:p>
        </w:tc>
      </w:tr>
      <w:tr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Troubleshooting</w:t>
            </w:r>
          </w:p>
        </w:tc>
        <w:tc>
          <w:tcPr>
            <w:tcW w:type="dxa" w:w="705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Prefer non-interactive kubectl exec commands in PowerShell where interactive TTY behaviour is unreliable.</w:t>
            </w:r>
          </w:p>
        </w:tc>
      </w:tr>
      <w:tr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Important boundary</w:t>
            </w:r>
          </w:p>
        </w:tc>
        <w:tc>
          <w:tcPr>
            <w:tcW w:type="dxa" w:w="705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Local Minikube is for development/training validation only; RKE2 shared environments remain the deployment target.</w:t>
            </w:r>
          </w:p>
        </w:tc>
      </w:tr>
    </w:tbl>
    <w:p>
      <w:pPr>
        <w:spacing w:after="20"/>
      </w:pPr>
    </w:p>
    <w:p/>
    <w:p>
      <w:pPr>
        <w:pStyle w:val="Small"/>
        <w:jc w:val="center"/>
      </w:pPr>
      <w:r>
        <w:rPr>
          <w:b/>
        </w:rPr>
        <w:t>End of proposed plan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04040"/>
        <w:sz w:val="16"/>
      </w:rPr>
      <w:t xml:space="preserve">Proposed plan - 6 August 2026  |  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404040"/>
        <w:sz w:val="16"/>
      </w:rPr>
      <w:t>CymBuild - Final Proposed CI/CD and Kubernetes Delivery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4040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b w:val="0"/>
      <w:i/>
      <w:iCs/>
      <w:color w:val="40404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xecutiveSummary">
    <w:name w:val="Executive Summary"/>
    <w:pPr>
      <w:spacing w:after="140" w:line="269" w:lineRule="auto"/>
    </w:pPr>
    <w:rPr>
      <w:rFonts w:ascii="Arial" w:hAnsi="Arial"/>
      <w:color w:val="404040"/>
      <w:sz w:val="22"/>
    </w:rPr>
  </w:style>
  <w:style w:type="paragraph" w:customStyle="1" w:styleId="Small">
    <w:name w:val="Small"/>
    <w:pPr>
      <w:spacing w:after="40"/>
    </w:pPr>
    <w:rPr>
      <w:rFonts w:ascii="Arial" w:hAnsi="Arial"/>
      <w:color w:val="404040"/>
      <w:sz w:val="16"/>
    </w:rPr>
  </w:style>
  <w:style w:type="paragraph" w:customStyle="1" w:styleId="Code">
    <w:name w:val="Code"/>
    <w:pPr>
      <w:spacing w:after="40"/>
      <w:ind w:left="288" w:right="288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CymBuild Final Proposed CI/CD and Kubernetes Delivery Plan</dc:title>
  <dc:subject>Baseline reconciled to feature/SB_Kubenetes, commit 1b6061621b4c25731955979b0085a3e0928fdacb, R39/R40 schema tooling and Sage Wrapper integration</dc:subject>
  <dc:creator>python-docx</dc:creator>
  <cp:keywords/>
  <dc:description>Documentation-only reconciliation; no application or database runtime behaviour changes.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