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903E" w14:textId="77777777" w:rsidR="000B002B" w:rsidRDefault="00000000">
      <w:pPr>
        <w:jc w:val="center"/>
      </w:pPr>
      <w:r>
        <w:rPr>
          <w:b/>
          <w:sz w:val="40"/>
        </w:rPr>
        <w:t>Sales Ledger Invoice Create Flow – vNext (Implementation 2.4)</w:t>
      </w:r>
    </w:p>
    <w:p w14:paraId="53FF666D" w14:textId="77777777" w:rsidR="000B002B" w:rsidRDefault="00000000">
      <w:pPr>
        <w:jc w:val="center"/>
      </w:pPr>
      <w:r>
        <w:t>Updated: 2025-10-17 13:02:36Z (UTC)</w:t>
      </w:r>
    </w:p>
    <w:p w14:paraId="08093D84" w14:textId="77777777" w:rsidR="000B002B" w:rsidRDefault="000B002B"/>
    <w:p w14:paraId="6589A33A" w14:textId="77777777" w:rsidR="000B002B" w:rsidRDefault="00000000">
      <w:pPr>
        <w:pStyle w:val="Heading2"/>
      </w:pPr>
      <w:r>
        <w:t>Revision Summary</w:t>
      </w:r>
    </w:p>
    <w:p w14:paraId="6C47E3B3" w14:textId="77777777" w:rsidR="000B002B" w:rsidRDefault="00000000">
      <w:r>
        <w:t>• Implemented centralized audit logging for success and failure events using AuditLogging configuration.</w:t>
      </w:r>
    </w:p>
    <w:p w14:paraId="1CF73EFE" w14:textId="77777777" w:rsidR="000B002B" w:rsidRDefault="00000000">
      <w:r>
        <w:t>• Added persistence of ResultSageUrn in IdempotencyRecords when Idempotency-Key provided.</w:t>
      </w:r>
    </w:p>
    <w:p w14:paraId="54385E94" w14:textId="77777777" w:rsidR="000B002B" w:rsidRDefault="00000000">
      <w:r>
        <w:t>• Maintained DB-only persistence pattern: ExternalIdLink + IdempotencyRecord; outbound HTTP excluded from EF transactions.</w:t>
      </w:r>
    </w:p>
    <w:p w14:paraId="11913879" w14:textId="77777777" w:rsidR="000B002B" w:rsidRDefault="00000000">
      <w:r>
        <w:t>• Ensured Swagger displays Authorization, X-Site, X-Company, and Idempotency-Key headers.</w:t>
      </w:r>
    </w:p>
    <w:p w14:paraId="0B30323B" w14:textId="77777777" w:rsidR="000B002B" w:rsidRDefault="00000000">
      <w:r>
        <w:t>• Unified error mapping to return HTTP 502 ProblemDetails with upstream preview text on non-2xx responses.</w:t>
      </w:r>
    </w:p>
    <w:p w14:paraId="5303C4B8" w14:textId="77777777" w:rsidR="000B002B" w:rsidRDefault="00000000">
      <w:pPr>
        <w:pStyle w:val="Heading2"/>
      </w:pPr>
      <w:r>
        <w:t>End-to-End Flow Overview</w:t>
      </w:r>
    </w:p>
    <w:p w14:paraId="529EA507" w14:textId="77777777" w:rsidR="000B002B" w:rsidRDefault="00000000">
      <w:r>
        <w:t>1. POST /api/SalesInvoices receives Authorization, X-Site, X-Company, and Idempotency-Key headers.</w:t>
      </w:r>
    </w:p>
    <w:p w14:paraId="2B2DE3BF" w14:textId="77777777" w:rsidR="000B002B" w:rsidRDefault="00000000">
      <w:r>
        <w:t>2. DTO validation occurs; resolves AppId from X-Api-Key when omitted in ExternalRefs.</w:t>
      </w:r>
    </w:p>
    <w:p w14:paraId="1A86E6F0" w14:textId="77777777" w:rsidR="000B002B" w:rsidRDefault="00000000">
      <w:r>
        <w:t>3. Service constructs snake_case payload; forwards headers via ISageApiClient pipeline.</w:t>
      </w:r>
    </w:p>
    <w:p w14:paraId="445642C7" w14:textId="77777777" w:rsidR="000B002B" w:rsidRDefault="00000000">
      <w:r>
        <w:t>4. Delegating handlers add correlation IDs, apply logging, and refresh OAuth tokens when needed.</w:t>
      </w:r>
    </w:p>
    <w:p w14:paraId="3C4CB1F9" w14:textId="77777777" w:rsidR="000B002B" w:rsidRDefault="00000000">
      <w:r>
        <w:t>5. Sage responds with URN (2xx) or error (non-2xx).</w:t>
      </w:r>
    </w:p>
    <w:p w14:paraId="65546397" w14:textId="77777777" w:rsidR="000B002B" w:rsidRDefault="00000000">
      <w:r>
        <w:t>6. On success, DB-only transaction persists ExternalIdLink and IdempotencyRecord.ResultSageUrn.</w:t>
      </w:r>
    </w:p>
    <w:p w14:paraId="717D724B" w14:textId="77777777" w:rsidR="000B002B" w:rsidRDefault="00000000">
      <w:r>
        <w:t>7. On failure, HTTP 502 ProblemDetails is returned with upstream preview and audit log recorded.</w:t>
      </w:r>
    </w:p>
    <w:p w14:paraId="74968A4C" w14:textId="77777777" w:rsidR="000B002B" w:rsidRDefault="00000000">
      <w:pPr>
        <w:pStyle w:val="Heading3"/>
      </w:pPr>
      <w:r>
        <w:lastRenderedPageBreak/>
        <w:t>Microservice Audit &amp; Persistence Flow</w:t>
      </w:r>
    </w:p>
    <w:p w14:paraId="4E448AE8" w14:textId="77777777" w:rsidR="000B002B" w:rsidRDefault="00000000">
      <w:pPr>
        <w:jc w:val="center"/>
      </w:pPr>
      <w:r>
        <w:rPr>
          <w:noProof/>
        </w:rPr>
        <w:drawing>
          <wp:inline distT="0" distB="0" distL="0" distR="0" wp14:anchorId="553CF078" wp14:editId="1DE216D2">
            <wp:extent cx="5760720" cy="1755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54458f-bb49-4b89-98d4-3e205dc95c9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C584" w14:textId="77777777" w:rsidR="000B002B" w:rsidRDefault="00000000">
      <w:pPr>
        <w:jc w:val="center"/>
      </w:pPr>
      <w:r>
        <w:t>Figure 1 — Sales Ledger Invoice Microservice Flow (Success &amp; Failure)</w:t>
      </w:r>
    </w:p>
    <w:p w14:paraId="11532DA0" w14:textId="77777777" w:rsidR="000B002B" w:rsidRDefault="00000000">
      <w:pPr>
        <w:pStyle w:val="Heading3"/>
      </w:pPr>
      <w:r>
        <w:t>Kafka Process Flow (Reference)</w:t>
      </w:r>
    </w:p>
    <w:p w14:paraId="3F0A1058" w14:textId="77777777" w:rsidR="000B002B" w:rsidRDefault="00000000">
      <w:pPr>
        <w:jc w:val="center"/>
      </w:pPr>
      <w:r>
        <w:rPr>
          <w:noProof/>
        </w:rPr>
        <w:drawing>
          <wp:inline distT="0" distB="0" distL="0" distR="0" wp14:anchorId="059226FF" wp14:editId="52EEBAA9">
            <wp:extent cx="5760720" cy="2269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ec2d77-ad9a-4c14-85ab-0f86c89c1cf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C2CF" w14:textId="77777777" w:rsidR="000B002B" w:rsidRDefault="00000000">
      <w:pPr>
        <w:jc w:val="center"/>
      </w:pPr>
      <w:r>
        <w:t>Figure 2 — Kafka Integration Flow (CymBuild → Kafka → Sage Microservice → Sage 200)</w:t>
      </w:r>
    </w:p>
    <w:p w14:paraId="2A3B3393" w14:textId="77777777" w:rsidR="000B002B" w:rsidRDefault="00000000">
      <w:pPr>
        <w:pStyle w:val="Heading2"/>
      </w:pPr>
      <w:r>
        <w:t>Header Handling &amp; Idempotency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75"/>
        <w:gridCol w:w="2868"/>
        <w:gridCol w:w="1873"/>
        <w:gridCol w:w="1924"/>
      </w:tblGrid>
      <w:tr w:rsidR="000B002B" w14:paraId="2BFE350D" w14:textId="77777777">
        <w:tc>
          <w:tcPr>
            <w:tcW w:w="2160" w:type="dxa"/>
          </w:tcPr>
          <w:p w14:paraId="3C3666F8" w14:textId="77777777" w:rsidR="000B002B" w:rsidRDefault="00000000">
            <w:r>
              <w:t>Header</w:t>
            </w:r>
          </w:p>
        </w:tc>
        <w:tc>
          <w:tcPr>
            <w:tcW w:w="2160" w:type="dxa"/>
          </w:tcPr>
          <w:p w14:paraId="0E1914C9" w14:textId="77777777" w:rsidR="000B002B" w:rsidRDefault="00000000">
            <w:r>
              <w:t>Source</w:t>
            </w:r>
          </w:p>
        </w:tc>
        <w:tc>
          <w:tcPr>
            <w:tcW w:w="2160" w:type="dxa"/>
          </w:tcPr>
          <w:p w14:paraId="733F0A94" w14:textId="77777777" w:rsidR="000B002B" w:rsidRDefault="00000000">
            <w:r>
              <w:t>Applied</w:t>
            </w:r>
          </w:p>
        </w:tc>
        <w:tc>
          <w:tcPr>
            <w:tcW w:w="2160" w:type="dxa"/>
          </w:tcPr>
          <w:p w14:paraId="5485CC5F" w14:textId="77777777" w:rsidR="000B002B" w:rsidRDefault="00000000">
            <w:r>
              <w:t>Purpose</w:t>
            </w:r>
          </w:p>
        </w:tc>
      </w:tr>
      <w:tr w:rsidR="000B002B" w14:paraId="06381309" w14:textId="77777777">
        <w:tc>
          <w:tcPr>
            <w:tcW w:w="2160" w:type="dxa"/>
          </w:tcPr>
          <w:p w14:paraId="5245F3B6" w14:textId="77777777" w:rsidR="000B002B" w:rsidRDefault="00000000">
            <w:r>
              <w:t>Authorization: Bearer …</w:t>
            </w:r>
          </w:p>
        </w:tc>
        <w:tc>
          <w:tcPr>
            <w:tcW w:w="2160" w:type="dxa"/>
          </w:tcPr>
          <w:p w14:paraId="60A36B9A" w14:textId="77777777" w:rsidR="000B002B" w:rsidRDefault="00000000">
            <w:r>
              <w:t>OAuth / SageAuthDelegatingHandler</w:t>
            </w:r>
          </w:p>
        </w:tc>
        <w:tc>
          <w:tcPr>
            <w:tcW w:w="2160" w:type="dxa"/>
          </w:tcPr>
          <w:p w14:paraId="7863CEA8" w14:textId="77777777" w:rsidR="000B002B" w:rsidRDefault="00000000">
            <w:r>
              <w:t>Outbound Sage request</w:t>
            </w:r>
          </w:p>
        </w:tc>
        <w:tc>
          <w:tcPr>
            <w:tcW w:w="2160" w:type="dxa"/>
          </w:tcPr>
          <w:p w14:paraId="27FBE976" w14:textId="77777777" w:rsidR="000B002B" w:rsidRDefault="00000000">
            <w:r>
              <w:t>Authenticate to Sage</w:t>
            </w:r>
          </w:p>
        </w:tc>
      </w:tr>
      <w:tr w:rsidR="000B002B" w14:paraId="38C026F4" w14:textId="77777777">
        <w:tc>
          <w:tcPr>
            <w:tcW w:w="2160" w:type="dxa"/>
          </w:tcPr>
          <w:p w14:paraId="303EF878" w14:textId="77777777" w:rsidR="000B002B" w:rsidRDefault="00000000">
            <w:r>
              <w:t>X-Site</w:t>
            </w:r>
          </w:p>
        </w:tc>
        <w:tc>
          <w:tcPr>
            <w:tcW w:w="2160" w:type="dxa"/>
          </w:tcPr>
          <w:p w14:paraId="7ACECFE8" w14:textId="77777777" w:rsidR="000B002B" w:rsidRDefault="00000000">
            <w:r>
              <w:t>HTTP header or configuration</w:t>
            </w:r>
          </w:p>
        </w:tc>
        <w:tc>
          <w:tcPr>
            <w:tcW w:w="2160" w:type="dxa"/>
          </w:tcPr>
          <w:p w14:paraId="6B0AFFF3" w14:textId="77777777" w:rsidR="000B002B" w:rsidRDefault="00000000">
            <w:r>
              <w:t>Forwarded to Sage</w:t>
            </w:r>
          </w:p>
        </w:tc>
        <w:tc>
          <w:tcPr>
            <w:tcW w:w="2160" w:type="dxa"/>
          </w:tcPr>
          <w:p w14:paraId="2009F31B" w14:textId="77777777" w:rsidR="000B002B" w:rsidRDefault="00000000">
            <w:r>
              <w:t>Tenant/site routing</w:t>
            </w:r>
          </w:p>
        </w:tc>
      </w:tr>
      <w:tr w:rsidR="000B002B" w14:paraId="088755CC" w14:textId="77777777">
        <w:tc>
          <w:tcPr>
            <w:tcW w:w="2160" w:type="dxa"/>
          </w:tcPr>
          <w:p w14:paraId="3EA337CE" w14:textId="77777777" w:rsidR="000B002B" w:rsidRDefault="00000000">
            <w:r>
              <w:t>X-Company</w:t>
            </w:r>
          </w:p>
        </w:tc>
        <w:tc>
          <w:tcPr>
            <w:tcW w:w="2160" w:type="dxa"/>
          </w:tcPr>
          <w:p w14:paraId="16A0B986" w14:textId="77777777" w:rsidR="000B002B" w:rsidRDefault="00000000">
            <w:r>
              <w:t>HTTP header or configuration</w:t>
            </w:r>
          </w:p>
        </w:tc>
        <w:tc>
          <w:tcPr>
            <w:tcW w:w="2160" w:type="dxa"/>
          </w:tcPr>
          <w:p w14:paraId="2EF9FB6F" w14:textId="77777777" w:rsidR="000B002B" w:rsidRDefault="00000000">
            <w:r>
              <w:t>Forwarded to Sage</w:t>
            </w:r>
          </w:p>
        </w:tc>
        <w:tc>
          <w:tcPr>
            <w:tcW w:w="2160" w:type="dxa"/>
          </w:tcPr>
          <w:p w14:paraId="472F9C2D" w14:textId="77777777" w:rsidR="000B002B" w:rsidRDefault="00000000">
            <w:r>
              <w:t>Company routing</w:t>
            </w:r>
          </w:p>
        </w:tc>
      </w:tr>
      <w:tr w:rsidR="000B002B" w14:paraId="172BA054" w14:textId="77777777">
        <w:tc>
          <w:tcPr>
            <w:tcW w:w="2160" w:type="dxa"/>
          </w:tcPr>
          <w:p w14:paraId="4AF338B8" w14:textId="77777777" w:rsidR="000B002B" w:rsidRDefault="00000000">
            <w:r>
              <w:t>Idempotency-Key</w:t>
            </w:r>
          </w:p>
        </w:tc>
        <w:tc>
          <w:tcPr>
            <w:tcW w:w="2160" w:type="dxa"/>
          </w:tcPr>
          <w:p w14:paraId="6FD3BADD" w14:textId="77777777" w:rsidR="000B002B" w:rsidRDefault="00000000">
            <w:r>
              <w:t>HTTP header</w:t>
            </w:r>
          </w:p>
        </w:tc>
        <w:tc>
          <w:tcPr>
            <w:tcW w:w="2160" w:type="dxa"/>
          </w:tcPr>
          <w:p w14:paraId="28B4B031" w14:textId="77777777" w:rsidR="000B002B" w:rsidRDefault="00000000">
            <w:r>
              <w:t>Forwarded + persisted</w:t>
            </w:r>
          </w:p>
        </w:tc>
        <w:tc>
          <w:tcPr>
            <w:tcW w:w="2160" w:type="dxa"/>
          </w:tcPr>
          <w:p w14:paraId="36D7FDAD" w14:textId="77777777" w:rsidR="000B002B" w:rsidRDefault="00000000">
            <w:r>
              <w:t>Ensure idempotent create semantics</w:t>
            </w:r>
          </w:p>
        </w:tc>
      </w:tr>
    </w:tbl>
    <w:p w14:paraId="7FB27F1E" w14:textId="77777777" w:rsidR="000B002B" w:rsidRDefault="00000000">
      <w:pPr>
        <w:pStyle w:val="Heading2"/>
      </w:pPr>
      <w:r>
        <w:t>Error Mapping</w:t>
      </w:r>
    </w:p>
    <w:p w14:paraId="7DC3A279" w14:textId="77777777" w:rsidR="000B002B" w:rsidRDefault="00000000">
      <w:r>
        <w:t>All non-2xx responses from Sage are mapped to HTTP 502 ProblemDetails. The 'detail' field includes a truncated upstream response preview, and 'upstreamStatus' is logged for audit traceability.</w:t>
      </w:r>
    </w:p>
    <w:sectPr w:rsidR="000B0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850228">
    <w:abstractNumId w:val="8"/>
  </w:num>
  <w:num w:numId="2" w16cid:durableId="1031346476">
    <w:abstractNumId w:val="6"/>
  </w:num>
  <w:num w:numId="3" w16cid:durableId="1218466673">
    <w:abstractNumId w:val="5"/>
  </w:num>
  <w:num w:numId="4" w16cid:durableId="2124879664">
    <w:abstractNumId w:val="4"/>
  </w:num>
  <w:num w:numId="5" w16cid:durableId="362823954">
    <w:abstractNumId w:val="7"/>
  </w:num>
  <w:num w:numId="6" w16cid:durableId="1264530324">
    <w:abstractNumId w:val="3"/>
  </w:num>
  <w:num w:numId="7" w16cid:durableId="2110542065">
    <w:abstractNumId w:val="2"/>
  </w:num>
  <w:num w:numId="8" w16cid:durableId="1583878800">
    <w:abstractNumId w:val="1"/>
  </w:num>
  <w:num w:numId="9" w16cid:durableId="57161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02B"/>
    <w:rsid w:val="0015074B"/>
    <w:rsid w:val="0029639D"/>
    <w:rsid w:val="00326F90"/>
    <w:rsid w:val="00726773"/>
    <w:rsid w:val="007A72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8E3EC"/>
  <w14:defaultImageDpi w14:val="300"/>
  <w15:docId w15:val="{5E783823-6E3B-462D-BE79-F509C116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Brett</cp:lastModifiedBy>
  <cp:revision>2</cp:revision>
  <dcterms:created xsi:type="dcterms:W3CDTF">2025-10-17T13:08:00Z</dcterms:created>
  <dcterms:modified xsi:type="dcterms:W3CDTF">2025-10-17T13:08:00Z</dcterms:modified>
  <cp:category/>
</cp:coreProperties>
</file>