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comments.xml" ContentType="application/vnd.openxmlformats-officedocument.wordprocessingml.comments+xml"/>
  <ns0:Override PartName="/word/document.xml" ContentType="application/vnd.openxmlformats-officedocument.wordprocessingml.document.main+xml"/>
  <ns0:Override PartName="/word/fontTable.xml" ContentType="application/vnd.openxmlformats-officedocument.wordprocessingml.fontTable+xml"/>
  <ns0:Override PartName="/word/footnotes.xml" ContentType="application/vnd.openxmlformats-officedocument.wordprocessingml.footnotes+xml"/>
  <ns0:Override PartName="/word/media/rId25.pdf" ContentType="application/pdf"/>
  <ns0:Override PartName="/word/media/rId29.pdf" ContentType="application/pdf"/>
  <ns0:Override PartName="/word/media/rId33.pdf" ContentType="application/pdf"/>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Override PartName="/word/endnotes.xml" ContentType="application/vnd.openxmlformats-officedocument.wordprocessingml.endnotes+xml"/>
</ns0: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spacing w:line="480" w:lineRule="auto"/>
      </w:pPr>
      <w:r>
        <w:rPr>
          <w:rFonts w:ascii="Times New Roman" w:hAnsi="Times New Roman"/>
        </w:rPr>
        <w:t xml:space="preserve">English kinship terms: From taboo to syntax</w:t>
      </w:r>
    </w:p>
    <w:p>
      <w:pPr>
        <w:pStyle w:val="Author"/>
        <w:spacing w:line="480" w:lineRule="auto"/>
      </w:pPr>
      <w:r>
        <w:rPr>
          <w:rFonts w:ascii="Times New Roman" w:hAnsi="Times New Roman"/>
          <w:sz w:val="24"/>
        </w:rPr>
        <w:t xml:space="preserve">[Anonymous for review]</w:t>
      </w:r>
    </w:p>
    <w:p>
      <w:pPr>
        <w:pStyle w:val="Date"/>
        <w:spacing w:line="480" w:lineRule="auto"/>
      </w:pPr>
      <w:r>
        <w:rPr>
          <w:rFonts w:ascii="Times New Roman" w:hAnsi="Times New Roman"/>
          <w:sz w:val="24"/>
        </w:rPr>
        <w:t xml:space="preserve">2026-02-11</w:t>
      </w:r>
    </w:p>
    <w:p>
      <w:pPr>
        <w:pStyle w:val="AbstractTitle"/>
        <w:spacing w:line="480" w:lineRule="auto"/>
      </w:pPr>
      <w:r>
        <w:rPr>
          <w:rFonts w:ascii="Times New Roman" w:hAnsi="Times New Roman"/>
        </w:rPr>
        <w:t xml:space="preserve">Abstract</w:t>
      </w:r>
    </w:p>
    <w:p>
      <w:pPr>
        <w:pStyle w:val="Abstract"/>
        <w:spacing w:line="480" w:lineRule="auto"/>
      </w:pPr>
      <w:r>
        <w:rPr>
          <w:rFonts w:ascii="Times New Roman" w:hAnsi="Times New Roman"/>
          <w:sz w:val="24"/>
        </w:rPr>
        <w:t xml:space="preserve">English-speaking children rarely address parents by first name – a social prohibition encoding power and solidarity. Separately, English kinship terms like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w:t>
      </w:r>
      <w:r>
        <w:rPr>
          <w:rFonts w:ascii="Times New Roman" w:hAnsi="Times New Roman"/>
          <w:sz w:val="24"/>
        </w:rPr>
        <w:t xml:space="preserve">permit bare singular use (</w:t>
      </w:r>
      <w:r>
        <w:rPr>
          <w:rFonts w:ascii="Times New Roman" w:hAnsi="Times New Roman"/>
          <w:i/>
          <w:iCs/>
          <w:sz w:val="24"/>
        </w:rPr>
        <w:t xml:space="preserve">Mom called</w:t>
      </w:r>
      <w:r>
        <w:rPr>
          <w:rFonts w:ascii="Times New Roman" w:hAnsi="Times New Roman"/>
          <w:sz w:val="24"/>
        </w:rPr>
        <w:t xml:space="preserve">) where other count nouns don’t (*</w:t>
      </w:r>
      <w:r>
        <w:rPr>
          <w:rFonts w:ascii="Times New Roman" w:hAnsi="Times New Roman"/>
          <w:i/>
          <w:iCs/>
          <w:sz w:val="24"/>
        </w:rPr>
        <w:t xml:space="preserve">Neighbour called</w:t>
      </w:r>
      <w:r>
        <w:rPr>
          <w:rFonts w:ascii="Times New Roman" w:hAnsi="Times New Roman"/>
          <w:sz w:val="24"/>
        </w:rPr>
        <w:t xml:space="preserve">, in ordinary conversation). While previous work approaches this interface</w:t>
      </w:r>
      <w:r>
        <w:rPr>
          <w:rFonts w:ascii="Times New Roman" w:hAnsi="Times New Roman"/>
          <w:sz w:val="24"/>
        </w:rPr>
        <w:t xml:space="preserve"> </w:t>
      </w:r>
      <w:r>
        <w:rPr>
          <w:rFonts w:ascii="Times New Roman" w:hAnsi="Times New Roman"/>
          <w:sz w:val="24"/>
        </w:rPr>
        <w:t xml:space="preserve">(Downing 1996)</w:t>
      </w:r>
      <w:r>
        <w:rPr>
          <w:rFonts w:ascii="Times New Roman" w:hAnsi="Times New Roman"/>
          <w:sz w:val="24"/>
        </w:rPr>
        <w:t xml:space="preserve">, the specific link between the naming taboo and the</w:t>
      </w:r>
      <w:r>
        <w:rPr>
          <w:rFonts w:ascii="Times New Roman" w:hAnsi="Times New Roman"/>
          <w:sz w:val="24"/>
        </w:rPr>
        <w:t xml:space="preserve"> </w:t>
      </w:r>
      <w:r>
        <w:rPr>
          <w:rFonts w:ascii="Times New Roman" w:hAnsi="Times New Roman"/>
          <w:i/>
          <w:iCs/>
          <w:sz w:val="24"/>
        </w:rPr>
        <w:t xml:space="preserve">syntactic</w:t>
      </w:r>
      <w:r>
        <w:rPr>
          <w:rFonts w:ascii="Times New Roman" w:hAnsi="Times New Roman"/>
          <w:sz w:val="24"/>
        </w:rPr>
        <w:t xml:space="preserve"> </w:t>
      </w:r>
      <w:r>
        <w:rPr>
          <w:rFonts w:ascii="Times New Roman" w:hAnsi="Times New Roman"/>
          <w:sz w:val="24"/>
        </w:rPr>
        <w:t xml:space="preserve">outcome – determinerless argumental structure – remains unexplored. I argue that the naming taboo causes the proper-noun-like syntax: high-frequency use of kinship terms in vocative function – forced by the prohibition on first names – produces grammaticalization toward strong proper-name status. Corpus data from CHILDES confirm that parent terms show disproportionate vocative concentration (16–43%) compared to extended kin terms (4–7%), and vocative concentration correlates with bare-argument realization rates across terms (Spearman</w:t>
      </w:r>
      <w:r>
        <w:rPr>
          <w:rFonts w:ascii="Times New Roman" w:hAnsi="Times New Roman"/>
          <w:sz w:val="24"/>
        </w:rPr>
        <w:t xml:space="preserve"> </w:t>
      </w:r>
      <m:oMath>
        <m:r>
          <m:t>ρ</m:t>
        </m:r>
        <m:r>
          <m:rPr>
            <m:sty m:val="p"/>
          </m:rPr>
          <m:t>=</m:t>
        </m:r>
        <m:r>
          <m:t>0.73</m:t>
        </m:r>
      </m:oMath>
      <w:r>
        <w:rPr>
          <w:rFonts w:ascii="Times New Roman" w:hAnsi="Times New Roman"/>
          <w:sz w:val="24"/>
        </w:rPr>
        <w:t xml:space="preserve">). Children, not caregivers, drive the vocative skew. The</w:t>
      </w:r>
      <w:r>
        <w:rPr>
          <w:rFonts w:ascii="Times New Roman" w:hAnsi="Times New Roman"/>
          <w:sz w:val="24"/>
        </w:rPr>
        <w:t xml:space="preserve"> </w:t>
      </w:r>
      <w:r>
        <w:rPr>
          <w:rFonts w:ascii="Times New Roman" w:hAnsi="Times New Roman"/>
          <w:i/>
          <w:iCs/>
          <w:sz w:val="24"/>
        </w:rPr>
        <w:t xml:space="preserve">CGEL</w:t>
      </w:r>
      <w:r>
        <w:rPr>
          <w:rFonts w:ascii="Times New Roman" w:hAnsi="Times New Roman"/>
          <w:sz w:val="24"/>
        </w:rPr>
        <w:t xml:space="preserve"> </w:t>
      </w:r>
      <w:r>
        <w:rPr>
          <w:rFonts w:ascii="Times New Roman" w:hAnsi="Times New Roman"/>
          <w:sz w:val="24"/>
        </w:rPr>
        <w:t xml:space="preserve">category/function distinction provides the analytical apparatus; the taboo is the engine, the syntax is the sediment.</w:t>
      </w:r>
    </w:p>
    <w:p>
      <w:pPr>
        <w:pStyle w:val="FirstParagraph"/>
        <w:spacing w:line="480" w:lineRule="auto"/>
      </w:pPr>
      <w:r>
        <w:rPr>
          <w:rFonts w:ascii="Times New Roman" w:hAnsi="Times New Roman"/>
          <w:b/>
          <w:bCs/>
          <w:sz w:val="24"/>
        </w:rPr>
        <w:t xml:space="preserve">Keywords:</w:t>
      </w:r>
      <w:r>
        <w:rPr>
          <w:rFonts w:ascii="Times New Roman" w:hAnsi="Times New Roman"/>
          <w:sz w:val="24"/>
        </w:rPr>
        <w:t xml:space="preserve"> </w:t>
      </w:r>
      <w:r>
        <w:rPr>
          <w:rFonts w:ascii="Times New Roman" w:hAnsi="Times New Roman"/>
          <w:sz w:val="24"/>
        </w:rPr>
        <w:t xml:space="preserve">kinship terms, naming taboo, proper nouns, grammaticalization, address forms</w:t>
      </w:r>
    </w:p>
    <w:bookmarkStart w:id="17" w:name="sec:intro"/>
    <w:p>
      <w:pPr>
        <w:pStyle w:val="Heading1"/>
        <w:spacing w:line="480" w:lineRule="auto"/>
      </w:pPr>
      <w:r>
        <w:rPr>
          <w:rFonts w:ascii="Times New Roman" w:hAnsi="Times New Roman"/>
        </w:rPr>
        <w:t xml:space="preserve">Introduction</w:t>
      </w:r>
    </w:p>
    <w:p>
      <w:pPr>
        <w:pStyle w:val="FirstParagraph"/>
        <w:spacing w:line="480" w:lineRule="auto"/>
      </w:pP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The Parent Trap</w:t>
      </w:r>
      <w:r>
        <w:rPr>
          <w:rFonts w:ascii="Times New Roman" w:hAnsi="Times New Roman"/>
          <w:sz w:val="24"/>
        </w:rPr>
        <w:t xml:space="preserve">,</w:t>
      </w:r>
      <w:r>
        <w:rPr>
          <w:rStyle w:val="EndnoteReference"/>
          <w:rFonts w:ascii="Times New Roman" w:hAnsi="Times New Roman"/>
          <w:sz w:val="24"/>
        </w:rPr>
        <w:endnoteReference w:id="9"/>
      </w:r>
      <w:r>
        <w:rPr>
          <w:rFonts w:ascii="Times New Roman" w:hAnsi="Times New Roman"/>
          <w:sz w:val="24"/>
        </w:rPr>
        <w:t xml:space="preserve"> </w:t>
      </w:r>
      <w:r>
        <w:rPr>
          <w:rFonts w:ascii="Times New Roman" w:hAnsi="Times New Roman"/>
          <w:sz w:val="24"/>
        </w:rPr>
        <w:t xml:space="preserve">the emotional centre of the reunion isn’t a revelation of biology but a restoration of a word. After eleven years engineered around separation – one parent per child, one child per parent – the father finds himself face-to-face with the daughter who has grown up without him. The dialogue turns on something more miniature and more brutal: what you’re allowed to</w:t>
      </w:r>
      <w:r>
        <w:rPr>
          <w:rFonts w:ascii="Times New Roman" w:hAnsi="Times New Roman"/>
          <w:sz w:val="24"/>
        </w:rPr>
        <w:t xml:space="preserve"> </w:t>
      </w:r>
      <w:r>
        <w:rPr>
          <w:rFonts w:ascii="Times New Roman" w:hAnsi="Times New Roman"/>
          <w:i/>
          <w:iCs/>
          <w:sz w:val="24"/>
        </w:rPr>
        <w:t xml:space="preserve">call</w:t>
      </w:r>
      <w:r>
        <w:rPr>
          <w:rFonts w:ascii="Times New Roman" w:hAnsi="Times New Roman"/>
          <w:sz w:val="24"/>
        </w:rPr>
        <w:t xml:space="preserve"> </w:t>
      </w:r>
      <w:r>
        <w:rPr>
          <w:rFonts w:ascii="Times New Roman" w:hAnsi="Times New Roman"/>
          <w:sz w:val="24"/>
        </w:rPr>
        <w:t xml:space="preserve">someone.</w:t>
      </w:r>
    </w:p>
    <w:p>
      <w:pPr>
        <w:pStyle w:val="BodyText"/>
        <w:spacing w:line="480" w:lineRule="auto"/>
        <w:ind w:firstLine="720"/>
      </w:pPr>
      <w:r>
        <w:rPr>
          <w:rFonts w:ascii="Times New Roman" w:hAnsi="Times New Roman"/>
          <w:sz w:val="24"/>
        </w:rPr>
        <w:t xml:space="preserve">The father, Nick, reaches for the point that matters:</w:t>
      </w:r>
      <w:r>
        <w:rPr>
          <w:rFonts w:ascii="Times New Roman" w:hAnsi="Times New Roman"/>
          <w:sz w:val="24"/>
        </w:rPr>
        <w:t xml:space="preserve"> </w:t>
      </w:r>
      <w:r>
        <w:rPr>
          <w:rFonts w:ascii="Times New Roman" w:hAnsi="Times New Roman"/>
          <w:sz w:val="24"/>
        </w:rPr>
        <w:t xml:space="preserve">“So, let me see if I get this … you missed being able to call me Dad.”</w:t>
      </w:r>
      <w:r>
        <w:rPr>
          <w:rFonts w:ascii="Times New Roman" w:hAnsi="Times New Roman"/>
          <w:sz w:val="24"/>
        </w:rPr>
        <w:t xml:space="preserve"> </w:t>
      </w:r>
      <w:r>
        <w:rPr>
          <w:rFonts w:ascii="Times New Roman" w:hAnsi="Times New Roman"/>
          <w:sz w:val="24"/>
        </w:rPr>
        <w:t xml:space="preserve">Annie, the daughter, answers just as plainly:</w:t>
      </w:r>
      <w:r>
        <w:rPr>
          <w:rFonts w:ascii="Times New Roman" w:hAnsi="Times New Roman"/>
          <w:sz w:val="24"/>
        </w:rPr>
        <w:t xml:space="preserve"> </w:t>
      </w:r>
      <w:r>
        <w:rPr>
          <w:rFonts w:ascii="Times New Roman" w:hAnsi="Times New Roman"/>
          <w:sz w:val="24"/>
        </w:rPr>
        <w:t xml:space="preserve">“Yeah. I really have, Dad.”</w:t>
      </w:r>
    </w:p>
    <w:p>
      <w:pPr>
        <w:pStyle w:val="BodyText"/>
        <w:spacing w:line="480" w:lineRule="auto"/>
        <w:ind w:firstLine="720"/>
      </w:pPr>
      <w:r>
        <w:rPr>
          <w:rFonts w:ascii="Times New Roman" w:hAnsi="Times New Roman"/>
          <w:sz w:val="24"/>
        </w:rPr>
        <w:t xml:space="preserve">The exchange isn’t about identifying the referent; both speakers know exactly who’s being talked to. The ache is about a social relation that English encodes – and polices – through address, where</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w:t>
      </w:r>
      <w:r>
        <w:rPr>
          <w:rFonts w:ascii="Times New Roman" w:hAnsi="Times New Roman"/>
          <w:sz w:val="24"/>
        </w:rPr>
        <w:t xml:space="preserve">functions not as descriptive content but as a licensed stance of affiliation, entitlement, and obligation.</w:t>
      </w:r>
    </w:p>
    <w:p>
      <w:pPr>
        <w:pStyle w:val="BodyText"/>
        <w:spacing w:line="480" w:lineRule="auto"/>
        <w:ind w:firstLine="720"/>
      </w:pPr>
      <w:r>
        <w:rPr>
          <w:rFonts w:ascii="Times New Roman" w:hAnsi="Times New Roman"/>
          <w:sz w:val="24"/>
        </w:rPr>
        <w:t xml:space="preserve">That licensing is tight. A child who uses</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w:t>
      </w:r>
      <w:r>
        <w:rPr>
          <w:rFonts w:ascii="Times New Roman" w:hAnsi="Times New Roman"/>
          <w:sz w:val="24"/>
        </w:rPr>
        <w:t xml:space="preserve">isn’t merely labeling; rather, they’re performing the relational bond that the term encodes. When a child switches to the first name, they withdraw that performance. And when the kinship term returns, it doesn’t just report reconciliation – it performs it. The screenwriters may not have intended a case study in grammaticalization, but they wrote one. The paper that follows argues that this everyday naming taboo drives a grammaticalization pathway: it’s one reason English</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w:t>
      </w:r>
      <w:r>
        <w:rPr>
          <w:rFonts w:ascii="Times New Roman" w:hAnsi="Times New Roman"/>
          <w:sz w:val="24"/>
        </w:rPr>
        <w:t xml:space="preserve">behave, in key syntactic positions, less like ordinary common-noun NPs and more like strong proper names.</w:t>
      </w:r>
    </w:p>
    <w:bookmarkStart w:id="10" w:name="two-facts-that-should-be-connected"/>
    <w:p>
      <w:pPr>
        <w:pStyle w:val="Heading2"/>
        <w:spacing w:line="480" w:lineRule="auto"/>
      </w:pPr>
      <w:r>
        <w:rPr>
          <w:rFonts w:ascii="Times New Roman" w:hAnsi="Times New Roman"/>
        </w:rPr>
        <w:t xml:space="preserve">Two facts that should be connected</w:t>
      </w:r>
    </w:p>
    <w:p>
      <w:pPr>
        <w:pStyle w:val="FirstParagraph"/>
        <w:spacing w:line="480" w:lineRule="auto"/>
      </w:pPr>
      <w:r>
        <w:rPr>
          <w:rFonts w:ascii="Times New Roman" w:hAnsi="Times New Roman"/>
          <w:sz w:val="24"/>
        </w:rPr>
        <w:t xml:space="preserve">Two facts about English kinship terms have been documented extensively but separately: one in the literature on address forms, the other in determiner syntax. Work on conversational reference already approaches the interface</w:t>
      </w:r>
      <w:r>
        <w:rPr>
          <w:rFonts w:ascii="Times New Roman" w:hAnsi="Times New Roman"/>
          <w:sz w:val="24"/>
        </w:rPr>
        <w:t xml:space="preserve"> </w:t>
      </w:r>
      <w:r>
        <w:rPr>
          <w:rFonts w:ascii="Times New Roman" w:hAnsi="Times New Roman"/>
          <w:sz w:val="24"/>
        </w:rPr>
        <w:t xml:space="preserve">(Downing 1996)</w:t>
      </w:r>
      <w:r>
        <w:rPr>
          <w:rFonts w:ascii="Times New Roman" w:hAnsi="Times New Roman"/>
          <w:sz w:val="24"/>
        </w:rPr>
        <w:t xml:space="preserve">, but an explicit mechanism linking the parent-name taboo to determinerless argument structure hasn’t been developed.</w:t>
      </w:r>
    </w:p>
    <w:p>
      <w:pPr>
        <w:pStyle w:val="BodyText"/>
        <w:spacing w:line="480" w:lineRule="auto"/>
        <w:ind w:firstLine="720"/>
      </w:pPr>
      <w:r>
        <w:rPr>
          <w:rFonts w:ascii="Times New Roman" w:hAnsi="Times New Roman"/>
          <w:sz w:val="24"/>
        </w:rPr>
        <w:t xml:space="preserve">The first fact, from sociolinguistics, is that in mainstream Anglophone norms, children rarely address parents by first name. This is a social prohibition encoding power and solidarity</w:t>
      </w:r>
      <w:r>
        <w:rPr>
          <w:rFonts w:ascii="Times New Roman" w:hAnsi="Times New Roman"/>
          <w:sz w:val="24"/>
        </w:rPr>
        <w:t xml:space="preserve"> </w:t>
      </w:r>
      <w:r>
        <w:rPr>
          <w:rFonts w:ascii="Times New Roman" w:hAnsi="Times New Roman"/>
          <w:sz w:val="24"/>
        </w:rPr>
        <w:t xml:space="preserve">(Brown &amp; Gilman 1960; Dickey 1997)</w:t>
      </w:r>
      <w:r>
        <w:rPr>
          <w:rFonts w:ascii="Times New Roman" w:hAnsi="Times New Roman"/>
          <w:sz w:val="24"/>
        </w:rPr>
        <w:t xml:space="preserve">. The asymmetry is robust: parents use children’s first names freely; children use kinship terms. Violating the taboo (calling your mother</w:t>
      </w:r>
      <w:r>
        <w:rPr>
          <w:rFonts w:ascii="Times New Roman" w:hAnsi="Times New Roman"/>
          <w:sz w:val="24"/>
        </w:rPr>
        <w:t xml:space="preserve"> </w:t>
      </w:r>
      <w:r>
        <w:rPr>
          <w:rFonts w:ascii="Times New Roman" w:hAnsi="Times New Roman"/>
          <w:i/>
          <w:iCs/>
          <w:sz w:val="24"/>
        </w:rPr>
        <w:t xml:space="preserve">Sarah</w:t>
      </w:r>
      <w:r>
        <w:rPr>
          <w:rFonts w:ascii="Times New Roman" w:hAnsi="Times New Roman"/>
          <w:sz w:val="24"/>
        </w:rPr>
        <w:t xml:space="preserve"> </w:t>
      </w:r>
      <w:r>
        <w:rPr>
          <w:rFonts w:ascii="Times New Roman" w:hAnsi="Times New Roman"/>
          <w:sz w:val="24"/>
        </w:rPr>
        <w:t xml:space="preserve">at the dinner table) is face-threatening, marked, and culturally dispreferred in unmarked contexts.</w:t>
      </w:r>
    </w:p>
    <w:p>
      <w:pPr>
        <w:pStyle w:val="BodyText"/>
        <w:spacing w:line="480" w:lineRule="auto"/>
        <w:ind w:firstLine="720"/>
      </w:pPr>
      <w:r>
        <w:rPr>
          <w:rFonts w:ascii="Times New Roman" w:hAnsi="Times New Roman"/>
          <w:sz w:val="24"/>
        </w:rPr>
        <w:t xml:space="preserve">The second fact, from syntax, is that English kinship terms permit bare singular use where other count nouns don’t. The intended reading is definite and individuated, and it occurs outside the role-anchored contexts that license forms like</w:t>
      </w:r>
      <w:r>
        <w:rPr>
          <w:rFonts w:ascii="Times New Roman" w:hAnsi="Times New Roman"/>
          <w:sz w:val="24"/>
        </w:rPr>
        <w:t xml:space="preserve"> </w:t>
      </w:r>
      <w:r>
        <w:rPr>
          <w:rFonts w:ascii="Times New Roman" w:hAnsi="Times New Roman"/>
          <w:i/>
          <w:iCs/>
          <w:sz w:val="24"/>
        </w:rPr>
        <w:t xml:space="preserve">the doctor</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i/>
          <w:iCs/>
          <w:sz w:val="24"/>
        </w:rPr>
        <w:t xml:space="preserve">Teacher</w:t>
      </w:r>
      <w:r>
        <w:rPr>
          <w:rFonts w:ascii="Times New Roman" w:hAnsi="Times New Roman"/>
          <w:sz w:val="24"/>
        </w:rPr>
        <w:t xml:space="preserve">:</w:t>
      </w:r>
    </w:p>
    <w:tbl>
      <w:tblPr>
        <w:tblStyle w:val="Table"/>
        <w:tblW w:type="auto" w:w="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7776"/>
      </w:tblGrid>
      <w:tr>
        <w:tc>
          <w:tcPr/>
          <w:p>
            <w:pPr>
              <w:pStyle w:val="Compact"/>
              <w:spacing w:line="480" w:lineRule="auto"/>
              <w:jc w:val="left"/>
            </w:pPr>
            <w:r>
              <w:rPr>
                <w:rFonts w:ascii="Times New Roman" w:hAnsi="Times New Roman"/>
                <w:sz w:val="24"/>
              </w:rPr>
              <w:t xml:space="preserve">(1)</w:t>
            </w:r>
          </w:p>
        </w:tc>
        <w:tc>
          <w:tcPr/>
          <w:p>
            <w:pPr>
              <w:pStyle w:val="Compact"/>
              <w:spacing w:line="480" w:lineRule="auto"/>
              <w:jc w:val="left"/>
            </w:pPr>
            <w:r>
              <w:rPr>
                <w:rFonts w:ascii="Times New Roman" w:hAnsi="Times New Roman"/>
                <w:sz w:val="24"/>
              </w:rPr>
              <w:t xml:space="preserve">a.</w:t>
            </w:r>
            <w:r>
              <w:rPr>
                <w:rFonts w:ascii="Times New Roman" w:hAnsi="Times New Roman"/>
                <w:sz w:val="24"/>
              </w:rPr>
              <w:t xml:space="preserve"> </w:t>
            </w:r>
            <w:r>
              <w:rPr>
                <w:rFonts w:ascii="Times New Roman" w:hAnsi="Times New Roman"/>
                <w:i/>
                <w:iCs/>
                <w:sz w:val="24"/>
              </w:rPr>
              <w:t xml:space="preserve">Mom’s here.</w:t>
            </w:r>
            <w:r>
              <w:rPr>
                <w:rFonts w:ascii="Times New Roman" w:hAnsi="Times New Roman"/>
                <w:sz w:val="24"/>
              </w:rPr>
              <w:t xml:space="preserve"> </w:t>
            </w:r>
            <w:r>
              <w:rPr>
                <w:rFonts w:ascii="Times New Roman" w:hAnsi="Times New Roman"/>
                <w:sz w:val="24"/>
              </w:rPr>
              <w:t xml:space="preserve">(grammatical)</w:t>
            </w:r>
          </w:p>
        </w:tc>
      </w:tr>
      <w:tr>
        <w:tc>
          <w:tcPr/>
          <w:p>
            <w:pPr>
              <w:pStyle w:val="Compact"/>
              <w:spacing w:line="480" w:lineRule="auto"/>
            </w:pPr>
          </w:p>
        </w:tc>
        <w:tc>
          <w:tcPr/>
          <w:p>
            <w:pPr>
              <w:pStyle w:val="Compact"/>
              <w:spacing w:line="480" w:lineRule="auto"/>
              <w:jc w:val="left"/>
            </w:pPr>
            <w:r>
              <w:rPr>
                <w:rFonts w:ascii="Times New Roman" w:hAnsi="Times New Roman"/>
                <w:sz w:val="24"/>
              </w:rPr>
              <w:t xml:space="preserve">b. (?)</w:t>
            </w:r>
            <w:r>
              <w:rPr>
                <w:rFonts w:ascii="Times New Roman" w:hAnsi="Times New Roman"/>
                <w:sz w:val="24"/>
              </w:rPr>
              <w:t xml:space="preserve"> </w:t>
            </w:r>
            <w:r>
              <w:rPr>
                <w:rFonts w:ascii="Times New Roman" w:hAnsi="Times New Roman"/>
                <w:i/>
                <w:iCs/>
                <w:sz w:val="24"/>
              </w:rPr>
              <w:t xml:space="preserve">Teacher’s here.</w:t>
            </w:r>
            <w:r>
              <w:rPr>
                <w:rFonts w:ascii="Times New Roman" w:hAnsi="Times New Roman"/>
                <w:sz w:val="24"/>
              </w:rPr>
              <w:t xml:space="preserve"> </w:t>
            </w:r>
            <w:r>
              <w:rPr>
                <w:rFonts w:ascii="Times New Roman" w:hAnsi="Times New Roman"/>
                <w:sz w:val="24"/>
              </w:rPr>
              <w:t xml:space="preserve">(acceptable in school-role contexts; otherwise marginal; see Section </w:t>
            </w:r>
            <w:hyperlink w:anchor="sec:objections">
              <w:r>
                <w:rPr>
                  <w:rStyle w:val="Hyperlink"/>
                </w:rPr>
                <w:t xml:space="preserve">6</w:t>
              </w:r>
            </w:hyperlink>
            <w:r>
              <w:rPr>
                <w:rFonts w:ascii="Times New Roman" w:hAnsi="Times New Roman"/>
                <w:sz w:val="24"/>
              </w:rPr>
              <w:t xml:space="preserve">)</w:t>
            </w:r>
          </w:p>
        </w:tc>
      </w:tr>
      <w:tr>
        <w:tc>
          <w:tcPr/>
          <w:p>
            <w:pPr>
              <w:pStyle w:val="Compact"/>
              <w:spacing w:line="480" w:lineRule="auto"/>
            </w:pPr>
          </w:p>
        </w:tc>
        <w:tc>
          <w:tcPr/>
          <w:p>
            <w:pPr>
              <w:pStyle w:val="Compact"/>
              <w:spacing w:line="480" w:lineRule="auto"/>
              <w:jc w:val="left"/>
            </w:pPr>
            <w:r>
              <w:rPr>
                <w:rFonts w:ascii="Times New Roman" w:hAnsi="Times New Roman"/>
                <w:sz w:val="24"/>
              </w:rPr>
              <w:t xml:space="preserve">c. (*)</w:t>
            </w:r>
            <w:r>
              <w:rPr>
                <w:rFonts w:ascii="Times New Roman" w:hAnsi="Times New Roman"/>
                <w:sz w:val="24"/>
              </w:rPr>
              <w:t xml:space="preserve"> </w:t>
            </w:r>
            <w:r>
              <w:rPr>
                <w:rFonts w:ascii="Times New Roman" w:hAnsi="Times New Roman"/>
                <w:i/>
                <w:iCs/>
                <w:sz w:val="24"/>
              </w:rPr>
              <w:t xml:space="preserve">Neighbour’s here.</w:t>
            </w:r>
            <w:r>
              <w:rPr>
                <w:rFonts w:ascii="Times New Roman" w:hAnsi="Times New Roman"/>
                <w:sz w:val="24"/>
              </w:rPr>
              <w:t xml:space="preserve"> </w:t>
            </w:r>
            <w:r>
              <w:rPr>
                <w:rFonts w:ascii="Times New Roman" w:hAnsi="Times New Roman"/>
                <w:sz w:val="24"/>
              </w:rPr>
              <w:t xml:space="preserve">(ungrammatical in ordinary conversation)</w:t>
            </w:r>
          </w:p>
        </w:tc>
      </w:tr>
    </w:tbl>
    <w:p>
      <w:pPr>
        <w:pStyle w:val="BodyText"/>
        <w:spacing w:line="480" w:lineRule="auto"/>
        <w:ind w:firstLine="720"/>
      </w:pPr>
      <w:r>
        <w:rPr>
          <w:rFonts w:ascii="Times New Roman" w:hAnsi="Times New Roman"/>
          <w:sz w:val="24"/>
        </w:rPr>
        <w:t xml:space="preserve">When used this way,</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functions semantically as a</w:t>
      </w:r>
      <w:r>
        <w:rPr>
          <w:rFonts w:ascii="Times New Roman" w:hAnsi="Times New Roman"/>
          <w:sz w:val="24"/>
        </w:rPr>
        <w:t xml:space="preserve"> </w:t>
      </w:r>
      <w:r>
        <w:rPr>
          <w:rFonts w:ascii="Times New Roman" w:hAnsi="Times New Roman"/>
          <w:smallCaps/>
          <w:sz w:val="24"/>
        </w:rPr>
        <w:t xml:space="preserve">proper name</w:t>
      </w:r>
      <w:r>
        <w:rPr>
          <w:rFonts w:ascii="Times New Roman" w:hAnsi="Times New Roman"/>
          <w:sz w:val="24"/>
        </w:rPr>
        <w:t xml:space="preserve">, picking out an identifiable individual in the family domain. This semantic function is borne out syntactically:</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appears as a bare NP, what</w:t>
      </w:r>
      <w:r>
        <w:rPr>
          <w:rFonts w:ascii="Times New Roman" w:hAnsi="Times New Roman"/>
          <w:sz w:val="24"/>
        </w:rPr>
        <w:t xml:space="preserve"> </w:t>
      </w:r>
      <w:r>
        <w:rPr>
          <w:rFonts w:ascii="Times New Roman" w:hAnsi="Times New Roman"/>
          <w:sz w:val="24"/>
        </w:rPr>
        <w:t xml:space="preserve">Huddleston &amp; Pullum (2002)</w:t>
      </w:r>
      <w:r>
        <w:rPr>
          <w:rFonts w:ascii="Times New Roman" w:hAnsi="Times New Roman"/>
          <w:sz w:val="24"/>
        </w:rPr>
        <w:t xml:space="preserve"> </w:t>
      </w:r>
      <w:r>
        <w:rPr>
          <w:rFonts w:ascii="Times New Roman" w:hAnsi="Times New Roman"/>
          <w:sz w:val="24"/>
        </w:rPr>
        <w:t xml:space="preserve">call a</w:t>
      </w:r>
      <w:r>
        <w:rPr>
          <w:rFonts w:ascii="Times New Roman" w:hAnsi="Times New Roman"/>
          <w:sz w:val="24"/>
        </w:rPr>
        <w:t xml:space="preserve"> </w:t>
      </w:r>
      <w:r>
        <w:rPr>
          <w:rFonts w:ascii="Times New Roman" w:hAnsi="Times New Roman"/>
          <w:smallCaps/>
          <w:sz w:val="24"/>
        </w:rPr>
        <w:t xml:space="preserve">strong proper name</w:t>
      </w:r>
      <w:r>
        <w:rPr>
          <w:rFonts w:ascii="Times New Roman" w:hAnsi="Times New Roman"/>
          <w:sz w:val="24"/>
        </w:rPr>
        <w:t xml:space="preserve">. With a determiner (</w:t>
      </w:r>
      <w:r>
        <w:rPr>
          <w:rFonts w:ascii="Times New Roman" w:hAnsi="Times New Roman"/>
          <w:i/>
          <w:iCs/>
          <w:sz w:val="24"/>
        </w:rPr>
        <w:t xml:space="preserve">my mom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the mom in question</w:t>
      </w:r>
      <w:r>
        <w:rPr>
          <w:rFonts w:ascii="Times New Roman" w:hAnsi="Times New Roman"/>
          <w:sz w:val="24"/>
        </w:rPr>
        <w:t xml:space="preserve">), the same lexical item retains its relational meaning. The bare singular pattern is remarkable because English generally resists bare singular count nouns in argument position (*</w:t>
      </w:r>
      <w:r>
        <w:rPr>
          <w:rFonts w:ascii="Times New Roman" w:hAnsi="Times New Roman"/>
          <w:i/>
          <w:iCs/>
          <w:sz w:val="24"/>
        </w:rPr>
        <w:t xml:space="preserve">I bought table</w:t>
      </w:r>
      <w:r>
        <w:rPr>
          <w:rFonts w:ascii="Times New Roman" w:hAnsi="Times New Roman"/>
          <w:sz w:val="24"/>
        </w:rPr>
        <w:t xml:space="preserve">) – with limited exceptions, such as in institutional frames (</w:t>
      </w:r>
      <w:r>
        <w:rPr>
          <w:rFonts w:ascii="Times New Roman" w:hAnsi="Times New Roman"/>
          <w:i/>
          <w:iCs/>
          <w:sz w:val="24"/>
        </w:rPr>
        <w:t xml:space="preserve">go to school</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 hospital</w:t>
      </w:r>
      <w:r>
        <w:rPr>
          <w:rFonts w:ascii="Times New Roman" w:hAnsi="Times New Roman"/>
          <w:sz w:val="24"/>
        </w:rPr>
        <w:t xml:space="preserve">).</w:t>
      </w:r>
    </w:p>
    <w:bookmarkEnd w:id="10"/>
    <w:bookmarkStart w:id="12" w:name="the-proposed-mechanism"/>
    <w:p>
      <w:pPr>
        <w:pStyle w:val="Heading2"/>
        <w:spacing w:line="480" w:lineRule="auto"/>
      </w:pPr>
      <w:r>
        <w:rPr>
          <w:rFonts w:ascii="Times New Roman" w:hAnsi="Times New Roman"/>
        </w:rPr>
        <w:t xml:space="preserve">The proposed mechanism</w:t>
      </w:r>
    </w:p>
    <w:p>
      <w:pPr>
        <w:pStyle w:val="FirstParagraph"/>
        <w:spacing w:line="480" w:lineRule="auto"/>
      </w:pPr>
      <w:r>
        <w:rPr>
          <w:rFonts w:ascii="Times New Roman" w:hAnsi="Times New Roman"/>
          <w:sz w:val="24"/>
        </w:rPr>
        <w:t xml:space="preserve">The argument is simple: the social prohibition on first-name use forces high-frequency use of kinship terms in vocative and address function. Vocative function is determiner-free</w:t>
      </w:r>
      <w:r>
        <w:rPr>
          <w:rStyle w:val="EndnoteReference"/>
          <w:rFonts w:ascii="Times New Roman" w:hAnsi="Times New Roman"/>
          <w:sz w:val="24"/>
        </w:rPr>
        <w:endnoteReference w:id="11"/>
      </w:r>
      <w:r>
        <w:rPr>
          <w:rFonts w:ascii="Times New Roman" w:hAnsi="Times New Roman"/>
          <w:sz w:val="24"/>
        </w:rPr>
        <w:t xml:space="preserve"> </w:t>
      </w:r>
      <w:r>
        <w:rPr>
          <w:rFonts w:ascii="Times New Roman" w:hAnsi="Times New Roman"/>
          <w:sz w:val="24"/>
        </w:rPr>
        <w:t xml:space="preserve">– you say</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Waiter!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Taxi!</w:t>
      </w:r>
      <w:r>
        <w:rPr>
          <w:rFonts w:ascii="Times New Roman" w:hAnsi="Times New Roman"/>
          <w:sz w:val="24"/>
        </w:rPr>
        <w:t xml:space="preserve">, not *</w:t>
      </w:r>
      <w:r>
        <w:rPr>
          <w:rFonts w:ascii="Times New Roman" w:hAnsi="Times New Roman"/>
          <w:i/>
          <w:iCs/>
          <w:sz w:val="24"/>
        </w:rPr>
        <w:t xml:space="preserve">The mom!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That waiter!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Some taxi!</w:t>
      </w:r>
      <w:r>
        <w:rPr>
          <w:rFonts w:ascii="Times New Roman" w:hAnsi="Times New Roman"/>
          <w:sz w:val="24"/>
        </w:rPr>
        <w:t xml:space="preserve"> </w:t>
      </w:r>
      <w:r>
        <w:rPr>
          <w:rFonts w:ascii="Times New Roman" w:hAnsi="Times New Roman"/>
          <w:sz w:val="24"/>
        </w:rPr>
        <w:t xml:space="preserve">(forms so immediately wrong they barely need the asterisk) – and this syntactic property provides the bridge to proper-name status. That frequency, sustained across childhood and into adulthood, produces exactly the conditions under which grammaticalization toward proper-noun-like syntax occurs. The taboo is proposed as a primary driver, operating through distributional exposure in vocative contexts; a secondary factor is caregiver self-reference (</w:t>
      </w:r>
      <w:r>
        <w:rPr>
          <w:rFonts w:ascii="Times New Roman" w:hAnsi="Times New Roman"/>
          <w:i/>
          <w:iCs/>
          <w:sz w:val="24"/>
        </w:rPr>
        <w:t xml:space="preserve">Mommy’s going to the store</w:t>
      </w:r>
      <w:r>
        <w:rPr>
          <w:rFonts w:ascii="Times New Roman" w:hAnsi="Times New Roman"/>
          <w:sz w:val="24"/>
        </w:rPr>
        <w:t xml:space="preserve">), which provides additional input frequency in name position.</w:t>
      </w:r>
    </w:p>
    <w:p>
      <w:pPr>
        <w:pStyle w:val="BodyText"/>
        <w:spacing w:line="480" w:lineRule="auto"/>
        <w:ind w:firstLine="720"/>
      </w:pPr>
      <w:r>
        <w:rPr>
          <w:rFonts w:ascii="Times New Roman" w:hAnsi="Times New Roman"/>
          <w:sz w:val="24"/>
        </w:rPr>
        <w:t xml:space="preserve">The causal pathway has four steps:</w:t>
      </w:r>
    </w:p>
    <w:p>
      <w:pPr>
        <w:numPr>
          <w:ilvl w:val="0"/>
          <w:numId w:val="1001"/>
        </w:numPr>
        <w:spacing w:line="480" w:lineRule="auto"/>
        <w:ind w:firstLine="720"/>
      </w:pPr>
      <w:r>
        <w:rPr>
          <w:rFonts w:ascii="Times New Roman" w:hAnsi="Times New Roman"/>
          <w:i/>
          <w:iCs/>
          <w:sz w:val="24"/>
        </w:rPr>
        <w:t xml:space="preserve">Social prohibition</w:t>
      </w:r>
      <w:r>
        <w:rPr>
          <w:rFonts w:ascii="Times New Roman" w:hAnsi="Times New Roman"/>
          <w:sz w:val="24"/>
        </w:rPr>
        <w:t xml:space="preserve">: Children can’t use parents’ first names. The taboo is enforced by correction, by awkwardness, by the visceral wrongness of hearing a peer say</w:t>
      </w:r>
      <w:r>
        <w:rPr>
          <w:rFonts w:ascii="Times New Roman" w:hAnsi="Times New Roman"/>
          <w:sz w:val="24"/>
        </w:rPr>
        <w:t xml:space="preserve"> </w:t>
      </w:r>
      <w:r>
        <w:rPr>
          <w:rFonts w:ascii="Times New Roman" w:hAnsi="Times New Roman"/>
          <w:sz w:val="24"/>
        </w:rPr>
        <w:t xml:space="preserve">“Hey, Nick”</w:t>
      </w:r>
      <w:r>
        <w:rPr>
          <w:rFonts w:ascii="Times New Roman" w:hAnsi="Times New Roman"/>
          <w:sz w:val="24"/>
        </w:rPr>
        <w:t xml:space="preserve"> </w:t>
      </w:r>
      <w:r>
        <w:rPr>
          <w:rFonts w:ascii="Times New Roman" w:hAnsi="Times New Roman"/>
          <w:sz w:val="24"/>
        </w:rPr>
        <w:t xml:space="preserve">to their father.</w:t>
      </w:r>
    </w:p>
    <w:p>
      <w:pPr>
        <w:numPr>
          <w:ilvl w:val="0"/>
          <w:numId w:val="1001"/>
        </w:numPr>
        <w:spacing w:line="480" w:lineRule="auto"/>
        <w:ind w:firstLine="720"/>
      </w:pPr>
      <w:r>
        <w:rPr>
          <w:rFonts w:ascii="Times New Roman" w:hAnsi="Times New Roman"/>
          <w:i/>
          <w:iCs/>
          <w:sz w:val="24"/>
        </w:rPr>
        <w:t xml:space="preserve">Address function</w:t>
      </w:r>
      <w:r>
        <w:rPr>
          <w:rFonts w:ascii="Times New Roman" w:hAnsi="Times New Roman"/>
          <w:sz w:val="24"/>
        </w:rPr>
        <w:t xml:space="preserve">: The prohibition forces kinship terms into the slot normally occupied by proper names.</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w:t>
      </w:r>
      <w:r>
        <w:rPr>
          <w:rFonts w:ascii="Times New Roman" w:hAnsi="Times New Roman"/>
          <w:sz w:val="24"/>
        </w:rPr>
        <w:t xml:space="preserve">become the primary vocative forms – the words a child uses to get a parent’s attention, to address them directly, to refer to them in third-person conversation with other family members. The taboo doesn’t merely increase frequency; it</w:t>
      </w:r>
      <w:r>
        <w:rPr>
          <w:rFonts w:ascii="Times New Roman" w:hAnsi="Times New Roman"/>
          <w:sz w:val="24"/>
        </w:rPr>
        <w:t xml:space="preserve"> </w:t>
      </w:r>
      <w:r>
        <w:rPr>
          <w:rFonts w:ascii="Times New Roman" w:hAnsi="Times New Roman"/>
          <w:i/>
          <w:iCs/>
          <w:sz w:val="24"/>
        </w:rPr>
        <w:t xml:space="preserve">eliminates the competitor</w:t>
      </w:r>
      <w:r>
        <w:rPr>
          <w:rFonts w:ascii="Times New Roman" w:hAnsi="Times New Roman"/>
          <w:sz w:val="24"/>
        </w:rPr>
        <w:t xml:space="preserve">. The first name isn’t just rare; it’s prohibited. This total displacement is what makes the kinship case distinctive.</w:t>
      </w:r>
    </w:p>
    <w:p>
      <w:pPr>
        <w:numPr>
          <w:ilvl w:val="0"/>
          <w:numId w:val="1001"/>
        </w:numPr>
        <w:spacing w:line="480" w:lineRule="auto"/>
        <w:ind w:firstLine="720"/>
      </w:pPr>
      <w:r>
        <w:rPr>
          <w:rFonts w:ascii="Times New Roman" w:hAnsi="Times New Roman"/>
          <w:i/>
          <w:iCs/>
          <w:sz w:val="24"/>
        </w:rPr>
        <w:t xml:space="preserve">High frequency</w:t>
      </w:r>
      <w:r>
        <w:rPr>
          <w:rFonts w:ascii="Times New Roman" w:hAnsi="Times New Roman"/>
          <w:sz w:val="24"/>
        </w:rPr>
        <w:t xml:space="preserve">: This isn’t occasional use. Children say</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w:t>
      </w:r>
      <w:r>
        <w:rPr>
          <w:rFonts w:ascii="Times New Roman" w:hAnsi="Times New Roman"/>
          <w:sz w:val="24"/>
        </w:rPr>
        <w:t xml:space="preserve">with extreme frequency throughout childhood. The frequency is amplified by parent-directed speech: caregivers routinely refer to</w:t>
      </w:r>
      <w:r>
        <w:rPr>
          <w:rFonts w:ascii="Times New Roman" w:hAnsi="Times New Roman"/>
          <w:sz w:val="24"/>
        </w:rPr>
        <w:t xml:space="preserve"> </w:t>
      </w:r>
      <w:r>
        <w:rPr>
          <w:rFonts w:ascii="Times New Roman" w:hAnsi="Times New Roman"/>
          <w:i/>
          <w:iCs/>
          <w:sz w:val="24"/>
        </w:rPr>
        <w:t xml:space="preserve">themselves</w:t>
      </w:r>
      <w:r>
        <w:rPr>
          <w:rFonts w:ascii="Times New Roman" w:hAnsi="Times New Roman"/>
          <w:sz w:val="24"/>
        </w:rPr>
        <w:t xml:space="preserve"> </w:t>
      </w:r>
      <w:r>
        <w:rPr>
          <w:rFonts w:ascii="Times New Roman" w:hAnsi="Times New Roman"/>
          <w:sz w:val="24"/>
        </w:rPr>
        <w:t xml:space="preserve">as</w:t>
      </w:r>
      <w:r>
        <w:rPr>
          <w:rFonts w:ascii="Times New Roman" w:hAnsi="Times New Roman"/>
          <w:sz w:val="24"/>
        </w:rPr>
        <w:t xml:space="preserve"> </w:t>
      </w:r>
      <w:r>
        <w:rPr>
          <w:rFonts w:ascii="Times New Roman" w:hAnsi="Times New Roman"/>
          <w:i/>
          <w:iCs/>
          <w:sz w:val="24"/>
        </w:rPr>
        <w:t xml:space="preserve">Mommy</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Daddy</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Mommy’s going to the store</w:t>
      </w:r>
      <w:r>
        <w:rPr>
          <w:rFonts w:ascii="Times New Roman" w:hAnsi="Times New Roman"/>
          <w:sz w:val="24"/>
        </w:rPr>
        <w:t xml:space="preserve">), providing massive input frequency in name position</w:t>
      </w:r>
      <w:r>
        <w:rPr>
          <w:rFonts w:ascii="Times New Roman" w:hAnsi="Times New Roman"/>
          <w:sz w:val="24"/>
        </w:rPr>
        <w:t xml:space="preserve"> </w:t>
      </w:r>
      <w:r>
        <w:rPr>
          <w:rFonts w:ascii="Times New Roman" w:hAnsi="Times New Roman"/>
          <w:sz w:val="24"/>
        </w:rPr>
        <w:t xml:space="preserve">(Duranti 2011)</w:t>
      </w:r>
      <w:r>
        <w:rPr>
          <w:rFonts w:ascii="Times New Roman" w:hAnsi="Times New Roman"/>
          <w:sz w:val="24"/>
        </w:rPr>
        <w:t xml:space="preserve">. Each use is in a slot prototypically occupied by proper names.</w:t>
      </w:r>
    </w:p>
    <w:p>
      <w:pPr>
        <w:numPr>
          <w:ilvl w:val="0"/>
          <w:numId w:val="1001"/>
        </w:numPr>
        <w:spacing w:line="480" w:lineRule="auto"/>
        <w:ind w:firstLine="720"/>
      </w:pPr>
      <w:r>
        <w:rPr>
          <w:rFonts w:ascii="Times New Roman" w:hAnsi="Times New Roman"/>
          <w:i/>
          <w:iCs/>
          <w:sz w:val="24"/>
        </w:rPr>
        <w:t xml:space="preserve">Grammaticalization</w:t>
      </w:r>
      <w:r>
        <w:rPr>
          <w:rFonts w:ascii="Times New Roman" w:hAnsi="Times New Roman"/>
          <w:sz w:val="24"/>
        </w:rPr>
        <w:t xml:space="preserve">: Repetition in a name-like slot produces entrenchment. The form becomes highly entrenched as a name-like address form with the distributional privileges of proper nouns – it appears without a determiner, it resists modification in ways that common nouns don’t – while acquiring the semantic function of a proper name: identifiable reference within the family domain.</w:t>
      </w:r>
    </w:p>
    <w:p>
      <w:pPr>
        <w:pStyle w:val="FirstParagraph"/>
        <w:spacing w:line="480" w:lineRule="auto"/>
      </w:pPr>
      <w:r>
        <w:rPr>
          <w:rFonts w:ascii="Times New Roman" w:hAnsi="Times New Roman"/>
          <w:sz w:val="24"/>
        </w:rPr>
        <w:t xml:space="preserve">This mechanism predicts a sharp divergence between parent terms and extended kin terms. Corpus data from CHILDES bear this out (Section </w:t>
      </w:r>
      <w:hyperlink w:anchor="sec:mechanism">
        <w:r>
          <w:rPr>
            <w:rStyle w:val="Hyperlink"/>
          </w:rPr>
          <w:t xml:space="preserve">4</w:t>
        </w:r>
      </w:hyperlink>
      <w:r>
        <w:rPr>
          <w:rFonts w:ascii="Times New Roman" w:hAnsi="Times New Roman"/>
          <w:sz w:val="24"/>
        </w:rPr>
        <w:t xml:space="preserve">).</w:t>
      </w:r>
    </w:p>
    <w:p>
      <w:pPr>
        <w:pStyle w:val="BodyText"/>
        <w:spacing w:line="480" w:lineRule="auto"/>
        <w:ind w:firstLine="720"/>
      </w:pPr>
      <w:r>
        <w:rPr>
          <w:rFonts w:ascii="Times New Roman" w:hAnsi="Times New Roman"/>
          <w:sz w:val="24"/>
        </w:rPr>
        <w:t xml:space="preserve">Grammar, on a usage-based view, isn’t a set of abstract rules that</w:t>
      </w:r>
      <w:r>
        <w:rPr>
          <w:rFonts w:ascii="Times New Roman" w:hAnsi="Times New Roman"/>
          <w:sz w:val="24"/>
        </w:rPr>
        <w:t xml:space="preserve"> </w:t>
      </w:r>
      <w:r>
        <w:rPr>
          <w:rFonts w:ascii="Times New Roman" w:hAnsi="Times New Roman"/>
          <w:sz w:val="24"/>
        </w:rPr>
        <w:t xml:space="preserve">“allow”</w:t>
      </w:r>
      <w:r>
        <w:rPr>
          <w:rFonts w:ascii="Times New Roman" w:hAnsi="Times New Roman"/>
          <w:sz w:val="24"/>
        </w:rPr>
        <w:t xml:space="preserve"> </w:t>
      </w:r>
      <w:r>
        <w:rPr>
          <w:rFonts w:ascii="Times New Roman" w:hAnsi="Times New Roman"/>
          <w:sz w:val="24"/>
        </w:rPr>
        <w:t xml:space="preserve">exceptions; it’s the residue of what speakers actually do, over and over</w:t>
      </w:r>
      <w:r>
        <w:rPr>
          <w:rFonts w:ascii="Times New Roman" w:hAnsi="Times New Roman"/>
          <w:sz w:val="24"/>
        </w:rPr>
        <w:t xml:space="preserve"> </w:t>
      </w:r>
      <w:r>
        <w:rPr>
          <w:rFonts w:ascii="Times New Roman" w:hAnsi="Times New Roman"/>
          <w:sz w:val="24"/>
        </w:rPr>
        <w:t xml:space="preserve">(Bybee 2010)</w:t>
      </w:r>
      <w:r>
        <w:rPr>
          <w:rFonts w:ascii="Times New Roman" w:hAnsi="Times New Roman"/>
          <w:sz w:val="24"/>
        </w:rPr>
        <w:t xml:space="preserve">. On the account developed here,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isn’t a common noun that the grammar happens to permit in a bare-singular slot; rather, it’s a form that has acquired proper-noun syntax through the pressure of its use.</w:t>
      </w:r>
    </w:p>
    <w:bookmarkEnd w:id="12"/>
    <w:bookmarkStart w:id="14" w:name="the-cambridge-grammar-framework"/>
    <w:p>
      <w:pPr>
        <w:pStyle w:val="Heading2"/>
        <w:spacing w:line="480" w:lineRule="auto"/>
      </w:pPr>
      <w:r>
        <w:rPr>
          <w:rFonts w:ascii="Times New Roman" w:hAnsi="Times New Roman"/>
        </w:rPr>
        <w:t xml:space="preserve">The Cambridge Grammar framework</w:t>
      </w:r>
    </w:p>
    <w:p>
      <w:pPr>
        <w:pStyle w:val="FirstParagraph"/>
        <w:spacing w:line="480" w:lineRule="auto"/>
      </w:pPr>
      <w:r>
        <w:rPr>
          <w:rFonts w:ascii="Times New Roman" w:hAnsi="Times New Roman"/>
          <w:sz w:val="24"/>
        </w:rPr>
        <w:t xml:space="preserve">The analytical apparatus comes from</w:t>
      </w:r>
      <w:r>
        <w:rPr>
          <w:rFonts w:ascii="Times New Roman" w:hAnsi="Times New Roman"/>
          <w:sz w:val="24"/>
        </w:rPr>
        <w:t xml:space="preserve"> </w:t>
      </w:r>
      <w:r>
        <w:rPr>
          <w:rFonts w:ascii="Times New Roman" w:hAnsi="Times New Roman"/>
          <w:i/>
          <w:iCs/>
          <w:sz w:val="24"/>
        </w:rPr>
        <w:t xml:space="preserve">The Cambridge Grammar of the English Language</w:t>
      </w:r>
      <w:r>
        <w:rPr>
          <w:rFonts w:ascii="Times New Roman" w:hAnsi="Times New Roman"/>
          <w:sz w:val="24"/>
        </w:rPr>
        <w:t xml:space="preserve"> </w:t>
      </w:r>
      <w:r>
        <w:rPr>
          <w:rFonts w:ascii="Times New Roman" w:hAnsi="Times New Roman"/>
          <w:sz w:val="24"/>
        </w:rPr>
        <w:t xml:space="preserve">(Huddleston &amp; Pullum 2002, hereafter</w:t>
      </w:r>
      <w:r>
        <w:rPr>
          <w:rFonts w:ascii="Times New Roman" w:hAnsi="Times New Roman"/>
          <w:sz w:val="24"/>
        </w:rPr>
        <w:t xml:space="preserve"> </w:t>
      </w:r>
      <w:r>
        <w:rPr>
          <w:rFonts w:ascii="Times New Roman" w:hAnsi="Times New Roman"/>
          <w:i/>
          <w:iCs/>
          <w:sz w:val="24"/>
        </w:rPr>
        <w:t xml:space="preserve">CGEL</w:t>
      </w:r>
      <w:r>
        <w:rPr>
          <w:rFonts w:ascii="Times New Roman" w:hAnsi="Times New Roman"/>
          <w:sz w:val="24"/>
        </w:rPr>
        <w:t xml:space="preserve">)</w:t>
      </w:r>
      <w:r>
        <w:rPr>
          <w:rFonts w:ascii="Times New Roman" w:hAnsi="Times New Roman"/>
          <w:sz w:val="24"/>
        </w:rPr>
        <w:t xml:space="preserve">. What</w:t>
      </w:r>
      <w:r>
        <w:rPr>
          <w:rFonts w:ascii="Times New Roman" w:hAnsi="Times New Roman"/>
          <w:sz w:val="24"/>
        </w:rPr>
        <w:t xml:space="preserve"> </w:t>
      </w:r>
      <w:r>
        <w:rPr>
          <w:rFonts w:ascii="Times New Roman" w:hAnsi="Times New Roman"/>
          <w:i/>
          <w:iCs/>
          <w:sz w:val="24"/>
        </w:rPr>
        <w:t xml:space="preserve">CGEL</w:t>
      </w:r>
      <w:r>
        <w:rPr>
          <w:rFonts w:ascii="Times New Roman" w:hAnsi="Times New Roman"/>
          <w:sz w:val="24"/>
        </w:rPr>
        <w:t xml:space="preserve"> </w:t>
      </w:r>
      <w:r>
        <w:rPr>
          <w:rFonts w:ascii="Times New Roman" w:hAnsi="Times New Roman"/>
          <w:sz w:val="24"/>
        </w:rPr>
        <w:t xml:space="preserve">offers is a distinction between a word’s</w:t>
      </w:r>
      <w:r>
        <w:rPr>
          <w:rFonts w:ascii="Times New Roman" w:hAnsi="Times New Roman"/>
          <w:sz w:val="24"/>
        </w:rPr>
        <w:t xml:space="preserve"> </w:t>
      </w:r>
      <w:r>
        <w:rPr>
          <w:rFonts w:ascii="Times New Roman" w:hAnsi="Times New Roman"/>
          <w:i/>
          <w:iCs/>
          <w:sz w:val="24"/>
        </w:rPr>
        <w:t xml:space="preserve">lexical category</w:t>
      </w:r>
      <w:r>
        <w:rPr>
          <w:rFonts w:ascii="Times New Roman" w:hAnsi="Times New Roman"/>
          <w:sz w:val="24"/>
        </w:rPr>
        <w:t xml:space="preserve"> </w:t>
      </w:r>
      <w:r>
        <w:rPr>
          <w:rFonts w:ascii="Times New Roman" w:hAnsi="Times New Roman"/>
          <w:sz w:val="24"/>
        </w:rPr>
        <w:t xml:space="preserve">– whether it’s a proper noun or a common noun – and its</w:t>
      </w:r>
      <w:r>
        <w:rPr>
          <w:rFonts w:ascii="Times New Roman" w:hAnsi="Times New Roman"/>
          <w:sz w:val="24"/>
        </w:rPr>
        <w:t xml:space="preserve"> </w:t>
      </w:r>
      <w:r>
        <w:rPr>
          <w:rFonts w:ascii="Times New Roman" w:hAnsi="Times New Roman"/>
          <w:i/>
          <w:iCs/>
          <w:sz w:val="24"/>
        </w:rPr>
        <w:t xml:space="preserve">functional status</w:t>
      </w:r>
      <w:r>
        <w:rPr>
          <w:rFonts w:ascii="Times New Roman" w:hAnsi="Times New Roman"/>
          <w:sz w:val="24"/>
        </w:rPr>
        <w:t xml:space="preserve"> </w:t>
      </w:r>
      <w:r>
        <w:rPr>
          <w:rFonts w:ascii="Times New Roman" w:hAnsi="Times New Roman"/>
          <w:sz w:val="24"/>
        </w:rPr>
        <w:t xml:space="preserve">– whether it’s serving as a proper name or an ordinary NP. This distinction lets us say precisely what is gradient about kinship terms and what is not.</w:t>
      </w:r>
    </w:p>
    <w:p>
      <w:pPr>
        <w:pStyle w:val="BodyText"/>
        <w:spacing w:line="480" w:lineRule="auto"/>
        <w:ind w:firstLine="720"/>
      </w:pPr>
      <w:r>
        <w:rPr>
          <w:rFonts w:ascii="Times New Roman" w:hAnsi="Times New Roman"/>
          <w:sz w:val="24"/>
        </w:rPr>
        <w:t xml:space="preserve">Bare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is a proper name without qualification: it conventionally identifies a unique individual in the family domain. What is gradient across kinship terms isn’t the naming function but the degree of proper-</w:t>
      </w:r>
      <w:r>
        <w:rPr>
          <w:rFonts w:ascii="Times New Roman" w:hAnsi="Times New Roman"/>
          <w:i/>
          <w:iCs/>
          <w:sz w:val="24"/>
        </w:rPr>
        <w:t xml:space="preserve">noun</w:t>
      </w:r>
      <w:r>
        <w:rPr>
          <w:rFonts w:ascii="Times New Roman" w:hAnsi="Times New Roman"/>
          <w:sz w:val="24"/>
        </w:rPr>
        <w:t xml:space="preserve"> </w:t>
      </w:r>
      <w:r>
        <w:rPr>
          <w:rFonts w:ascii="Times New Roman" w:hAnsi="Times New Roman"/>
          <w:sz w:val="24"/>
        </w:rPr>
        <w:t xml:space="preserve">entrenchment – how far the form has acquired the bare-argument distribution of a proper noun. The grammaticalization story explains that entrenchment: the taboo forces kinship terms into naming function so frequently that the highest-frequency forms have acquired proper-noun status.</w:t>
      </w:r>
    </w:p>
    <w:p>
      <w:pPr>
        <w:pStyle w:val="BodyText"/>
        <w:spacing w:line="480" w:lineRule="auto"/>
        <w:ind w:firstLine="720"/>
      </w:pPr>
      <w:r>
        <w:rPr>
          <w:rFonts w:ascii="Times New Roman" w:hAnsi="Times New Roman"/>
          <w:sz w:val="24"/>
        </w:rPr>
        <w:t xml:space="preserve">This isn’t polysemy in the usual sense – two separate lexemes that happen to share a form. Several diagnostics favor a constructional/status analysis over a two-lexeme account: the use is gradient across kinship terms (not categorical), depends on discourse domain, shows cross-speaker variability, and exhibits bridging through address contexts (Section </w:t>
      </w:r>
      <w:hyperlink w:anchor="sec:syntax">
        <w:r>
          <w:rPr>
            <w:rStyle w:val="Hyperlink"/>
          </w:rPr>
          <w:t xml:space="preserve">3</w:t>
        </w:r>
      </w:hyperlink>
      <w:r>
        <w:rPr>
          <w:rFonts w:ascii="Times New Roman" w:hAnsi="Times New Roman"/>
          <w:sz w:val="24"/>
        </w:rPr>
        <w:t xml:space="preserve"> </w:t>
      </w:r>
      <w:r>
        <w:rPr>
          <w:rFonts w:ascii="Times New Roman" w:hAnsi="Times New Roman"/>
          <w:sz w:val="24"/>
        </w:rPr>
        <w:t xml:space="preserve">develops these diagnostics in full).</w:t>
      </w:r>
    </w:p>
    <w:p>
      <w:pPr>
        <w:pStyle w:val="BodyText"/>
        <w:spacing w:line="480" w:lineRule="auto"/>
        <w:ind w:firstLine="720"/>
      </w:pPr>
      <w:r>
        <w:rPr>
          <w:rFonts w:ascii="Times New Roman" w:hAnsi="Times New Roman"/>
          <w:i/>
          <w:iCs/>
          <w:sz w:val="24"/>
        </w:rPr>
        <w:t xml:space="preserve">CGEL</w:t>
      </w:r>
      <w:r>
        <w:rPr>
          <w:rFonts w:ascii="Times New Roman" w:hAnsi="Times New Roman"/>
          <w:sz w:val="24"/>
        </w:rPr>
        <w:t xml:space="preserve"> </w:t>
      </w:r>
      <w:r>
        <w:rPr>
          <w:rFonts w:ascii="Times New Roman" w:hAnsi="Times New Roman"/>
          <w:sz w:val="24"/>
        </w:rPr>
        <w:t xml:space="preserve">treats lexical categories as discrete but allows for marginal membership where not all diagnostic criteria are satisfied. What is gradient across kinship terms is</w:t>
      </w:r>
      <w:r>
        <w:rPr>
          <w:rFonts w:ascii="Times New Roman" w:hAnsi="Times New Roman"/>
          <w:sz w:val="24"/>
        </w:rPr>
        <w:t xml:space="preserve"> </w:t>
      </w:r>
      <w:r>
        <w:rPr>
          <w:rFonts w:ascii="Times New Roman" w:hAnsi="Times New Roman"/>
          <w:i/>
          <w:iCs/>
          <w:sz w:val="24"/>
        </w:rPr>
        <w:t xml:space="preserve">constructional licensing</w:t>
      </w:r>
      <w:r>
        <w:rPr>
          <w:rFonts w:ascii="Times New Roman" w:hAnsi="Times New Roman"/>
          <w:sz w:val="24"/>
        </w:rPr>
        <w:t xml:space="preserve"> </w:t>
      </w:r>
      <w:r>
        <w:rPr>
          <w:rFonts w:ascii="Times New Roman" w:hAnsi="Times New Roman"/>
          <w:sz w:val="24"/>
        </w:rPr>
        <w:t xml:space="preserve">– which constructions accept a given kinship term as a bare argument, and how readily. The present account treats</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w:t>
      </w:r>
      <w:r>
        <w:rPr>
          <w:rFonts w:ascii="Times New Roman" w:hAnsi="Times New Roman"/>
          <w:sz w:val="24"/>
        </w:rPr>
        <w:t xml:space="preserve">as having acquired proper-noun status through sustained frequency (alongside their common-noun entry), while</w:t>
      </w:r>
      <w:r>
        <w:rPr>
          <w:rFonts w:ascii="Times New Roman" w:hAnsi="Times New Roman"/>
          <w:sz w:val="24"/>
        </w:rPr>
        <w:t xml:space="preserve"> </w:t>
      </w:r>
      <w:r>
        <w:rPr>
          <w:rFonts w:ascii="Times New Roman" w:hAnsi="Times New Roman"/>
          <w:i/>
          <w:iCs/>
          <w:sz w:val="24"/>
        </w:rPr>
        <w:t xml:space="preserve">Uncle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i/>
          <w:iCs/>
          <w:sz w:val="24"/>
        </w:rPr>
        <w:t xml:space="preserve">Auntie</w:t>
      </w:r>
      <w:r>
        <w:rPr>
          <w:rFonts w:ascii="Times New Roman" w:hAnsi="Times New Roman"/>
          <w:sz w:val="24"/>
        </w:rPr>
        <w:t xml:space="preserve"> </w:t>
      </w:r>
      <w:r>
        <w:rPr>
          <w:rFonts w:ascii="Times New Roman" w:hAnsi="Times New Roman"/>
          <w:sz w:val="24"/>
        </w:rPr>
        <w:t xml:space="preserve">participate in the proper-name construction with varying acceptability without having acquired that status. This departs from strict</w:t>
      </w:r>
      <w:r>
        <w:rPr>
          <w:rFonts w:ascii="Times New Roman" w:hAnsi="Times New Roman"/>
          <w:sz w:val="24"/>
        </w:rPr>
        <w:t xml:space="preserve"> </w:t>
      </w:r>
      <w:r>
        <w:rPr>
          <w:rFonts w:ascii="Times New Roman" w:hAnsi="Times New Roman"/>
          <w:i/>
          <w:iCs/>
          <w:sz w:val="24"/>
        </w:rPr>
        <w:t xml:space="preserve">CGEL</w:t>
      </w:r>
      <w:r>
        <w:rPr>
          <w:rFonts w:ascii="Times New Roman" w:hAnsi="Times New Roman"/>
          <w:sz w:val="24"/>
        </w:rPr>
        <w:t xml:space="preserve"> </w:t>
      </w:r>
      <w:r>
        <w:rPr>
          <w:rFonts w:ascii="Times New Roman" w:hAnsi="Times New Roman"/>
          <w:sz w:val="24"/>
        </w:rPr>
        <w:t xml:space="preserve">orthodoxy in treating category membership as emergent rather than stipulated, consistent with usage-based approaches to category emergence</w:t>
      </w:r>
      <w:r>
        <w:rPr>
          <w:rFonts w:ascii="Times New Roman" w:hAnsi="Times New Roman"/>
          <w:sz w:val="24"/>
        </w:rPr>
        <w:t xml:space="preserve"> </w:t>
      </w:r>
      <w:r>
        <w:rPr>
          <w:rFonts w:ascii="Times New Roman" w:hAnsi="Times New Roman"/>
          <w:sz w:val="24"/>
        </w:rPr>
        <w:t xml:space="preserve">(Bybee 2010; Traugott &amp; Trousdale 2013)</w:t>
      </w:r>
      <w:r>
        <w:rPr>
          <w:rFonts w:ascii="Times New Roman" w:hAnsi="Times New Roman"/>
          <w:sz w:val="24"/>
        </w:rPr>
        <w:t xml:space="preserve">.</w:t>
      </w:r>
    </w:p>
    <w:bookmarkStart w:id="13" w:name="tab:cgel"/>
    <w:p>
      <w:pPr>
        <w:pStyle w:val="TableCaption"/>
        <w:spacing w:line="480" w:lineRule="auto"/>
      </w:pPr>
      <w:r>
        <w:rPr>
          <w:rFonts w:ascii="Times New Roman" w:hAnsi="Times New Roman"/>
          <w:sz w:val="24"/>
        </w:rPr>
        <w:t>Table 1: Key terminology from</w:t>
      </w:r>
      <w:r>
        <w:rPr>
          <w:rFonts w:ascii="Times New Roman" w:hAnsi="Times New Roman"/>
          <w:sz w:val="24"/>
        </w:rPr>
        <w:t xml:space="preserve"> </w:t>
      </w:r>
      <w:r>
        <w:rPr>
          <w:rFonts w:ascii="Times New Roman" w:hAnsi="Times New Roman"/>
          <w:i/>
          <w:iCs/>
          <w:sz w:val="24"/>
        </w:rPr>
        <w:t xml:space="preserve">CGEL</w:t>
      </w:r>
    </w:p>
    <w:tbl>
      <w:tblPr>
        <w:tblStyle w:val="Table"/>
        <w:tblW w:type="auto" w:w="0"/>
        <w:tblLook w:firstRow="1" w:lastRow="0" w:firstColumn="0" w:lastColumn="0" w:noHBand="0" w:noVBand="0" w:val="0020"/>
        <w:tblCaption w:val="Key terminology from CGEL"/>
      </w:tblPr>
      <w:tblGrid>
        <w:gridCol w:w="2640"/>
        <w:gridCol w:w="2640"/>
        <w:gridCol w:w="2640"/>
      </w:tblGrid>
      <w:tr>
        <w:trPr>
          <w:tblHeader w:val="on"/>
        </w:trPr>
        <w:tc>
          <w:tcPr/>
          <w:p>
            <w:pPr>
              <w:pStyle w:val="Compact"/>
              <w:spacing w:line="480" w:lineRule="auto"/>
              <w:jc w:val="left"/>
            </w:pPr>
            <w:r>
              <w:rPr>
                <w:rFonts w:ascii="Times New Roman" w:hAnsi="Times New Roman"/>
                <w:sz w:val="24"/>
              </w:rPr>
              <w:t xml:space="preserve">Term</w:t>
            </w:r>
          </w:p>
        </w:tc>
        <w:tc>
          <w:tcPr/>
          <w:p>
            <w:pPr>
              <w:pStyle w:val="Compact"/>
              <w:spacing w:line="480" w:lineRule="auto"/>
              <w:jc w:val="left"/>
            </w:pPr>
            <w:r>
              <w:rPr>
                <w:rFonts w:ascii="Times New Roman" w:hAnsi="Times New Roman"/>
                <w:sz w:val="24"/>
              </w:rPr>
              <w:t xml:space="preserve">Definition</w:t>
            </w:r>
          </w:p>
        </w:tc>
        <w:tc>
          <w:tcPr/>
          <w:p>
            <w:pPr>
              <w:pStyle w:val="Compact"/>
              <w:spacing w:line="480" w:lineRule="auto"/>
              <w:jc w:val="left"/>
            </w:pPr>
            <w:r>
              <w:rPr>
                <w:rFonts w:ascii="Times New Roman" w:hAnsi="Times New Roman"/>
                <w:sz w:val="24"/>
              </w:rPr>
              <w:t xml:space="preserve">Example</w:t>
            </w:r>
          </w:p>
        </w:tc>
      </w:tr>
      <w:tr>
        <w:tc>
          <w:tcPr/>
          <w:p>
            <w:pPr>
              <w:pStyle w:val="Compact"/>
              <w:spacing w:line="480" w:lineRule="auto"/>
              <w:jc w:val="left"/>
            </w:pPr>
            <w:r>
              <w:rPr>
                <w:rFonts w:ascii="Times New Roman" w:hAnsi="Times New Roman"/>
                <w:sz w:val="24"/>
              </w:rPr>
              <w:t xml:space="preserve">Proper noun</w:t>
            </w:r>
          </w:p>
        </w:tc>
        <w:tc>
          <w:tcPr/>
          <w:p>
            <w:pPr>
              <w:pStyle w:val="Compact"/>
              <w:spacing w:line="480" w:lineRule="auto"/>
              <w:jc w:val="left"/>
            </w:pPr>
            <w:r>
              <w:rPr>
                <w:rFonts w:ascii="Times New Roman" w:hAnsi="Times New Roman"/>
                <w:sz w:val="24"/>
              </w:rPr>
              <w:t xml:space="preserve">Lexeme: Noun specialized for use as a proper name</w:t>
            </w:r>
          </w:p>
        </w:tc>
        <w:tc>
          <w:tcPr/>
          <w:p>
            <w:pPr>
              <w:pStyle w:val="Compact"/>
              <w:spacing w:line="480" w:lineRule="auto"/>
              <w:jc w:val="left"/>
            </w:pPr>
            <w:r>
              <w:rPr>
                <w:rFonts w:ascii="Times New Roman" w:hAnsi="Times New Roman"/>
                <w:i/>
                <w:iCs/>
                <w:sz w:val="24"/>
              </w:rPr>
              <w:t xml:space="preserve">John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Clinton</w:t>
            </w:r>
          </w:p>
        </w:tc>
      </w:tr>
      <w:tr>
        <w:tc>
          <w:tcPr/>
          <w:p>
            <w:pPr>
              <w:pStyle w:val="Compact"/>
              <w:spacing w:line="480" w:lineRule="auto"/>
              <w:jc w:val="left"/>
            </w:pPr>
            <w:r>
              <w:rPr>
                <w:rFonts w:ascii="Times New Roman" w:hAnsi="Times New Roman"/>
                <w:sz w:val="24"/>
              </w:rPr>
              <w:t xml:space="preserve">Proper name</w:t>
            </w:r>
          </w:p>
        </w:tc>
        <w:tc>
          <w:tcPr/>
          <w:p>
            <w:pPr>
              <w:pStyle w:val="Compact"/>
              <w:spacing w:line="480" w:lineRule="auto"/>
              <w:jc w:val="left"/>
            </w:pPr>
            <w:r>
              <w:rPr>
                <w:rFonts w:ascii="Times New Roman" w:hAnsi="Times New Roman"/>
                <w:sz w:val="24"/>
              </w:rPr>
              <w:t xml:space="preserve">Inherently definite expression</w:t>
            </w:r>
          </w:p>
        </w:tc>
        <w:tc>
          <w:tcPr/>
          <w:p>
            <w:pPr>
              <w:pStyle w:val="Compact"/>
              <w:spacing w:line="480" w:lineRule="auto"/>
              <w:jc w:val="left"/>
            </w:pPr>
            <w:r>
              <w:rPr>
                <w:rFonts w:ascii="Times New Roman" w:hAnsi="Times New Roman"/>
                <w:i/>
                <w:iCs/>
                <w:sz w:val="24"/>
              </w:rPr>
              <w:t xml:space="preserve">If on a Winter’s Night a Traveller</w:t>
            </w:r>
          </w:p>
        </w:tc>
      </w:tr>
      <w:tr>
        <w:tc>
          <w:tcPr/>
          <w:p>
            <w:pPr>
              <w:pStyle w:val="Compact"/>
              <w:spacing w:line="480" w:lineRule="auto"/>
              <w:jc w:val="left"/>
            </w:pPr>
            <w:r>
              <w:rPr>
                <w:rFonts w:ascii="Times New Roman" w:hAnsi="Times New Roman"/>
                <w:sz w:val="24"/>
              </w:rPr>
              <w:t xml:space="preserve">Strong proper name</w:t>
            </w:r>
          </w:p>
        </w:tc>
        <w:tc>
          <w:tcPr/>
          <w:p>
            <w:pPr>
              <w:pStyle w:val="Compact"/>
              <w:spacing w:line="480" w:lineRule="auto"/>
              <w:jc w:val="left"/>
            </w:pPr>
            <w:r>
              <w:rPr>
                <w:rFonts w:ascii="Times New Roman" w:hAnsi="Times New Roman"/>
                <w:sz w:val="24"/>
              </w:rPr>
              <w:t xml:space="preserve">Proper name without determiner</w:t>
            </w:r>
          </w:p>
        </w:tc>
        <w:tc>
          <w:tcPr/>
          <w:p>
            <w:pPr>
              <w:pStyle w:val="Compact"/>
              <w:spacing w:line="480" w:lineRule="auto"/>
              <w:jc w:val="left"/>
            </w:pPr>
            <w:r>
              <w:rPr>
                <w:rFonts w:ascii="Times New Roman" w:hAnsi="Times New Roman"/>
                <w:i/>
                <w:iCs/>
                <w:sz w:val="24"/>
              </w:rPr>
              <w:t xml:space="preserve">Paris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Mom</w:t>
            </w:r>
          </w:p>
        </w:tc>
      </w:tr>
      <w:tr>
        <w:tc>
          <w:tcPr/>
          <w:p>
            <w:pPr>
              <w:pStyle w:val="Compact"/>
              <w:spacing w:line="480" w:lineRule="auto"/>
              <w:jc w:val="left"/>
            </w:pPr>
            <w:r>
              <w:rPr>
                <w:rFonts w:ascii="Times New Roman" w:hAnsi="Times New Roman"/>
                <w:sz w:val="24"/>
              </w:rPr>
              <w:t xml:space="preserve">Weak proper name</w:t>
            </w:r>
          </w:p>
        </w:tc>
        <w:tc>
          <w:tcPr/>
          <w:p>
            <w:pPr>
              <w:pStyle w:val="Compact"/>
              <w:spacing w:line="480" w:lineRule="auto"/>
              <w:jc w:val="left"/>
            </w:pPr>
            <w:r>
              <w:rPr>
                <w:rFonts w:ascii="Times New Roman" w:hAnsi="Times New Roman"/>
                <w:sz w:val="24"/>
              </w:rPr>
              <w:t xml:space="preserve">Proper name with</w:t>
            </w:r>
            <w:r>
              <w:rPr>
                <w:rFonts w:ascii="Times New Roman" w:hAnsi="Times New Roman"/>
                <w:sz w:val="24"/>
              </w:rPr>
              <w:t xml:space="preserve"> </w:t>
            </w:r>
            <w:r>
              <w:rPr>
                <w:rFonts w:ascii="Times New Roman" w:hAnsi="Times New Roman"/>
                <w:i/>
                <w:iCs/>
                <w:sz w:val="24"/>
              </w:rPr>
              <w:t xml:space="preserve">the</w:t>
            </w:r>
          </w:p>
        </w:tc>
        <w:tc>
          <w:tcPr/>
          <w:p>
            <w:pPr>
              <w:pStyle w:val="Compact"/>
              <w:spacing w:line="480" w:lineRule="auto"/>
              <w:jc w:val="left"/>
            </w:pPr>
            <w:r>
              <w:rPr>
                <w:rFonts w:ascii="Times New Roman" w:hAnsi="Times New Roman"/>
                <w:i/>
                <w:iCs/>
                <w:sz w:val="24"/>
              </w:rPr>
              <w:t xml:space="preserve">the Thames</w:t>
            </w:r>
          </w:p>
        </w:tc>
      </w:tr>
      <w:tr>
        <w:tc>
          <w:tcPr/>
          <w:p>
            <w:pPr>
              <w:pStyle w:val="Compact"/>
              <w:spacing w:line="480" w:lineRule="auto"/>
              <w:jc w:val="left"/>
            </w:pPr>
            <w:r>
              <w:rPr>
                <w:rFonts w:ascii="Times New Roman" w:hAnsi="Times New Roman"/>
                <w:sz w:val="24"/>
              </w:rPr>
              <w:t xml:space="preserve">Bare singular</w:t>
            </w:r>
          </w:p>
        </w:tc>
        <w:tc>
          <w:tcPr/>
          <w:p>
            <w:pPr>
              <w:pStyle w:val="Compact"/>
              <w:spacing w:line="480" w:lineRule="auto"/>
              <w:jc w:val="left"/>
            </w:pPr>
            <w:r>
              <w:rPr>
                <w:rFonts w:ascii="Times New Roman" w:hAnsi="Times New Roman"/>
                <w:sz w:val="24"/>
              </w:rPr>
              <w:t xml:space="preserve">Count noun without determiner</w:t>
            </w:r>
          </w:p>
        </w:tc>
        <w:tc>
          <w:tcPr/>
          <w:p>
            <w:pPr>
              <w:pStyle w:val="Compact"/>
              <w:spacing w:line="480" w:lineRule="auto"/>
              <w:jc w:val="left"/>
            </w:pPr>
            <w:r>
              <w:rPr>
                <w:rFonts w:ascii="Times New Roman" w:hAnsi="Times New Roman"/>
                <w:i/>
                <w:iCs/>
                <w:sz w:val="24"/>
              </w:rPr>
              <w:t xml:space="preserve">at</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lunch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pet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shop</w:t>
            </w:r>
          </w:p>
        </w:tc>
      </w:tr>
    </w:tbl>
    <w:bookmarkEnd w:id="13"/>
    <w:p>
      <w:pPr>
        <w:pStyle w:val="BodyText"/>
        <w:spacing w:line="480" w:lineRule="auto"/>
        <w:ind w:firstLine="720"/>
      </w:pPr>
      <w:r>
        <w:rPr>
          <w:rFonts w:ascii="Times New Roman" w:hAnsi="Times New Roman"/>
          <w:sz w:val="24"/>
        </w:rPr>
        <w:t xml:space="preserve">Kinship terms show a functional split:</w:t>
      </w:r>
    </w:p>
    <w:tbl>
      <w:tblPr>
        <w:tblStyle w:val="Table"/>
        <w:tblW w:type="auto" w:w="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7776"/>
      </w:tblGrid>
      <w:tr>
        <w:tc>
          <w:tcPr/>
          <w:p>
            <w:pPr>
              <w:pStyle w:val="Compact"/>
              <w:spacing w:line="480" w:lineRule="auto"/>
              <w:jc w:val="left"/>
            </w:pPr>
            <w:r>
              <w:rPr>
                <w:rFonts w:ascii="Times New Roman" w:hAnsi="Times New Roman"/>
                <w:sz w:val="24"/>
              </w:rPr>
              <w:t xml:space="preserve">(2)</w:t>
            </w:r>
          </w:p>
        </w:tc>
        <w:tc>
          <w:tcPr/>
          <w:p>
            <w:pPr>
              <w:pStyle w:val="Compact"/>
              <w:spacing w:line="480" w:lineRule="auto"/>
              <w:jc w:val="left"/>
            </w:pPr>
            <w:r>
              <w:rPr>
                <w:rFonts w:ascii="Times New Roman" w:hAnsi="Times New Roman"/>
                <w:sz w:val="24"/>
              </w:rPr>
              <w:t xml:space="preserve">a. Common noun:</w:t>
            </w:r>
            <w:r>
              <w:rPr>
                <w:rFonts w:ascii="Times New Roman" w:hAnsi="Times New Roman"/>
                <w:sz w:val="24"/>
              </w:rPr>
              <w:t xml:space="preserve"> </w:t>
            </w:r>
            <w:r>
              <w:rPr>
                <w:rFonts w:ascii="Times New Roman" w:hAnsi="Times New Roman"/>
                <w:i/>
                <w:iCs/>
                <w:sz w:val="24"/>
              </w:rPr>
              <w:t xml:space="preserve">My mom called.</w:t>
            </w:r>
          </w:p>
        </w:tc>
      </w:tr>
      <w:tr>
        <w:tc>
          <w:tcPr/>
          <w:p>
            <w:pPr>
              <w:pStyle w:val="Compact"/>
              <w:spacing w:line="480" w:lineRule="auto"/>
            </w:pPr>
          </w:p>
        </w:tc>
        <w:tc>
          <w:tcPr/>
          <w:p>
            <w:pPr>
              <w:pStyle w:val="Compact"/>
              <w:spacing w:line="480" w:lineRule="auto"/>
              <w:jc w:val="left"/>
            </w:pPr>
            <w:r>
              <w:rPr>
                <w:rFonts w:ascii="Times New Roman" w:hAnsi="Times New Roman"/>
                <w:sz w:val="24"/>
              </w:rPr>
              <w:t xml:space="preserve">b. Strong proper name:</w:t>
            </w:r>
            <w:r>
              <w:rPr>
                <w:rFonts w:ascii="Times New Roman" w:hAnsi="Times New Roman"/>
                <w:sz w:val="24"/>
              </w:rPr>
              <w:t xml:space="preserve"> </w:t>
            </w:r>
            <w:r>
              <w:rPr>
                <w:rFonts w:ascii="Times New Roman" w:hAnsi="Times New Roman"/>
                <w:i/>
                <w:iCs/>
                <w:sz w:val="24"/>
              </w:rPr>
              <w:t xml:space="preserve">Mom called.</w:t>
            </w:r>
          </w:p>
        </w:tc>
      </w:tr>
    </w:tbl>
    <w:p>
      <w:pPr>
        <w:pStyle w:val="BodyText"/>
        <w:spacing w:line="480" w:lineRule="auto"/>
        <w:ind w:firstLine="720"/>
      </w:pPr>
      <w:r>
        <w:rPr>
          <w:rFonts w:ascii="Times New Roman" w:hAnsi="Times New Roman"/>
          <w:i/>
          <w:iCs/>
          <w:sz w:val="24"/>
        </w:rPr>
        <w:t xml:space="preserve">CGEL</w:t>
      </w:r>
      <w:r>
        <w:rPr>
          <w:rFonts w:ascii="Times New Roman" w:hAnsi="Times New Roman"/>
          <w:sz w:val="24"/>
        </w:rPr>
        <w:t xml:space="preserve"> </w:t>
      </w:r>
      <w:r>
        <w:rPr>
          <w:rFonts w:ascii="Times New Roman" w:hAnsi="Times New Roman"/>
          <w:sz w:val="24"/>
        </w:rPr>
        <w:t xml:space="preserve">itself notes this split in its treatment of vocatives (Section 5.20.5), observing that certain kin terms can function with proper-name status while others can’t – the category is graded rather than uniform</w:t>
      </w:r>
      <w:r>
        <w:rPr>
          <w:rFonts w:ascii="Times New Roman" w:hAnsi="Times New Roman"/>
          <w:sz w:val="24"/>
        </w:rPr>
        <w:t xml:space="preserve"> </w:t>
      </w:r>
      <w:r>
        <w:rPr>
          <w:rFonts w:ascii="Times New Roman" w:hAnsi="Times New Roman"/>
          <w:sz w:val="24"/>
        </w:rPr>
        <w:t xml:space="preserve">(Huddleston &amp; Pullum 2002: 522)</w:t>
      </w:r>
      <w:r>
        <w:rPr>
          <w:rFonts w:ascii="Times New Roman" w:hAnsi="Times New Roman"/>
          <w:sz w:val="24"/>
        </w:rPr>
        <w:t xml:space="preserve">. The distribution of English proper nouns was established by</w:t>
      </w:r>
      <w:r>
        <w:rPr>
          <w:rFonts w:ascii="Times New Roman" w:hAnsi="Times New Roman"/>
          <w:sz w:val="24"/>
        </w:rPr>
        <w:t xml:space="preserve"> </w:t>
      </w:r>
      <w:r>
        <w:rPr>
          <w:rFonts w:ascii="Times New Roman" w:hAnsi="Times New Roman"/>
          <w:sz w:val="24"/>
        </w:rPr>
        <w:t xml:space="preserve">Sloat (1969)</w:t>
      </w:r>
      <w:r>
        <w:rPr>
          <w:rFonts w:ascii="Times New Roman" w:hAnsi="Times New Roman"/>
          <w:sz w:val="24"/>
        </w:rPr>
        <w:t xml:space="preserve">.</w:t>
      </w:r>
    </w:p>
    <w:bookmarkEnd w:id="14"/>
    <w:bookmarkStart w:id="15" w:name="relation-to-deitality-and-definiteness"/>
    <w:p>
      <w:pPr>
        <w:pStyle w:val="Heading2"/>
        <w:spacing w:line="480" w:lineRule="auto"/>
      </w:pPr>
      <w:r>
        <w:rPr>
          <w:rFonts w:ascii="Times New Roman" w:hAnsi="Times New Roman"/>
        </w:rPr>
        <w:t xml:space="preserve">Relation to deitality and definiteness</w:t>
      </w:r>
    </w:p>
    <w:p>
      <w:pPr>
        <w:pStyle w:val="FirstParagraph"/>
        <w:spacing w:line="480" w:lineRule="auto"/>
      </w:pPr>
      <w:r>
        <w:rPr>
          <w:rFonts w:ascii="Times New Roman" w:hAnsi="Times New Roman"/>
          <w:sz w:val="24"/>
        </w:rPr>
        <w:t xml:space="preserve">One further analytical distinction proves useful.</w:t>
      </w:r>
      <w:r>
        <w:rPr>
          <w:rFonts w:ascii="Times New Roman" w:hAnsi="Times New Roman"/>
          <w:sz w:val="24"/>
        </w:rPr>
        <w:t xml:space="preserve"> </w:t>
      </w:r>
      <w:r>
        <w:rPr>
          <w:rFonts w:ascii="Times New Roman" w:hAnsi="Times New Roman"/>
          <w:sz w:val="24"/>
        </w:rPr>
        <w:t xml:space="preserve">Anonymous (2025)</w:t>
      </w:r>
      <w:r>
        <w:rPr>
          <w:rFonts w:ascii="Times New Roman" w:hAnsi="Times New Roman"/>
          <w:sz w:val="24"/>
        </w:rPr>
        <w:t xml:space="preserve"> </w:t>
      </w:r>
      <w:r>
        <w:rPr>
          <w:rFonts w:ascii="Times New Roman" w:hAnsi="Times New Roman"/>
          <w:sz w:val="24"/>
        </w:rPr>
        <w:t xml:space="preserve">separates</w:t>
      </w:r>
      <w:r>
        <w:rPr>
          <w:rFonts w:ascii="Times New Roman" w:hAnsi="Times New Roman"/>
          <w:sz w:val="24"/>
        </w:rPr>
        <w:t xml:space="preserve"> </w:t>
      </w:r>
      <w:r>
        <w:rPr>
          <w:rFonts w:ascii="Times New Roman" w:hAnsi="Times New Roman"/>
          <w:smallCaps/>
          <w:sz w:val="24"/>
        </w:rPr>
        <w:t xml:space="preserve">deitality</w:t>
      </w:r>
      <w:r>
        <w:rPr>
          <w:rFonts w:ascii="Times New Roman" w:hAnsi="Times New Roman"/>
          <w:sz w:val="24"/>
        </w:rPr>
        <w:t xml:space="preserve"> </w:t>
      </w:r>
      <w:r>
        <w:rPr>
          <w:rFonts w:ascii="Times New Roman" w:hAnsi="Times New Roman"/>
          <w:sz w:val="24"/>
        </w:rPr>
        <w:t xml:space="preserve">– a morphosyntactic property cluster including resistance to existential pivots and participation in partitives – from</w:t>
      </w:r>
      <w:r>
        <w:rPr>
          <w:rFonts w:ascii="Times New Roman" w:hAnsi="Times New Roman"/>
          <w:sz w:val="24"/>
        </w:rPr>
        <w:t xml:space="preserve"> </w:t>
      </w:r>
      <w:r>
        <w:rPr>
          <w:rFonts w:ascii="Times New Roman" w:hAnsi="Times New Roman"/>
          <w:smallCaps/>
          <w:sz w:val="24"/>
        </w:rPr>
        <w:t xml:space="preserve">definiteness</w:t>
      </w:r>
      <w:r>
        <w:rPr>
          <w:rFonts w:ascii="Times New Roman" w:hAnsi="Times New Roman"/>
          <w:sz w:val="24"/>
        </w:rPr>
        <w:t xml:space="preserve">, which is semantic. The deitality framework extends</w:t>
      </w:r>
      <w:r>
        <w:rPr>
          <w:rFonts w:ascii="Times New Roman" w:hAnsi="Times New Roman"/>
          <w:sz w:val="24"/>
        </w:rPr>
        <w:t xml:space="preserve"> </w:t>
      </w:r>
      <w:r>
        <w:rPr>
          <w:rFonts w:ascii="Times New Roman" w:hAnsi="Times New Roman"/>
          <w:i/>
          <w:iCs/>
          <w:sz w:val="24"/>
        </w:rPr>
        <w:t xml:space="preserve">CGEL</w:t>
      </w:r>
      <w:r>
        <w:rPr>
          <w:rFonts w:ascii="Times New Roman" w:hAnsi="Times New Roman"/>
          <w:sz w:val="24"/>
        </w:rPr>
        <w:t xml:space="preserve">’s descriptive apparatus; the diagnostics themselves (existential pivots, partitives, modification resistance) are theory-neutral. Proper names are peripheral members of the deitality cluster: they show the distributional restrictions but lack the overt morphological exponent (no article appears in *</w:t>
      </w:r>
      <w:r>
        <w:rPr>
          <w:rFonts w:ascii="Times New Roman" w:hAnsi="Times New Roman"/>
          <w:i/>
          <w:iCs/>
          <w:sz w:val="24"/>
        </w:rPr>
        <w:t xml:space="preserve">the John</w:t>
      </w:r>
      <w:r>
        <w:rPr>
          <w:rFonts w:ascii="Times New Roman" w:hAnsi="Times New Roman"/>
          <w:sz w:val="24"/>
        </w:rPr>
        <w:t xml:space="preserve">). English kinship terms, when functioning as proper names, pattern exactly this way – they acquire the distributional properties of proper nouns.</w:t>
      </w:r>
    </w:p>
    <w:bookmarkEnd w:id="15"/>
    <w:bookmarkStart w:id="16" w:name="what-follows"/>
    <w:p>
      <w:pPr>
        <w:pStyle w:val="Heading2"/>
        <w:spacing w:line="480" w:lineRule="auto"/>
      </w:pPr>
      <w:r>
        <w:rPr>
          <w:rFonts w:ascii="Times New Roman" w:hAnsi="Times New Roman"/>
        </w:rPr>
        <w:t xml:space="preserve">What follows</w:t>
      </w:r>
    </w:p>
    <w:p>
      <w:pPr>
        <w:pStyle w:val="FirstParagraph"/>
        <w:spacing w:line="480" w:lineRule="auto"/>
      </w:pPr>
      <w:r>
        <w:rPr>
          <w:rFonts w:ascii="Times New Roman" w:hAnsi="Times New Roman"/>
          <w:sz w:val="24"/>
        </w:rPr>
        <w:t xml:space="preserve">The rest of the paper proceeds as follows. Section </w:t>
      </w:r>
      <w:hyperlink w:anchor="sec:socio">
        <w:r>
          <w:rPr>
            <w:rStyle w:val="Hyperlink"/>
          </w:rPr>
          <w:t xml:space="preserve">2</w:t>
        </w:r>
      </w:hyperlink>
      <w:r>
        <w:rPr>
          <w:rFonts w:ascii="Times New Roman" w:hAnsi="Times New Roman"/>
          <w:sz w:val="24"/>
        </w:rPr>
        <w:t xml:space="preserve"> </w:t>
      </w:r>
      <w:r>
        <w:rPr>
          <w:rFonts w:ascii="Times New Roman" w:hAnsi="Times New Roman"/>
          <w:sz w:val="24"/>
        </w:rPr>
        <w:t xml:space="preserve">reviews the sociolinguistic literature on address forms and the naming taboo. Section </w:t>
      </w:r>
      <w:hyperlink w:anchor="sec:syntax">
        <w:r>
          <w:rPr>
            <w:rStyle w:val="Hyperlink"/>
          </w:rPr>
          <w:t xml:space="preserve">3</w:t>
        </w:r>
      </w:hyperlink>
      <w:r>
        <w:rPr>
          <w:rFonts w:ascii="Times New Roman" w:hAnsi="Times New Roman"/>
          <w:sz w:val="24"/>
        </w:rPr>
        <w:t xml:space="preserve"> </w:t>
      </w:r>
      <w:r>
        <w:rPr>
          <w:rFonts w:ascii="Times New Roman" w:hAnsi="Times New Roman"/>
          <w:sz w:val="24"/>
        </w:rPr>
        <w:t xml:space="preserve">reviews the syntactic literature on proper nouns, bare nominals, the deitality/definiteness distinction, and the</w:t>
      </w:r>
      <w:r>
        <w:rPr>
          <w:rFonts w:ascii="Times New Roman" w:hAnsi="Times New Roman"/>
          <w:sz w:val="24"/>
        </w:rPr>
        <w:t xml:space="preserve"> </w:t>
      </w:r>
      <w:r>
        <w:rPr>
          <w:rFonts w:ascii="Times New Roman" w:hAnsi="Times New Roman"/>
          <w:i/>
          <w:iCs/>
          <w:sz w:val="24"/>
        </w:rPr>
        <w:t xml:space="preserve">CGEL</w:t>
      </w:r>
      <w:r>
        <w:rPr>
          <w:rFonts w:ascii="Times New Roman" w:hAnsi="Times New Roman"/>
          <w:sz w:val="24"/>
        </w:rPr>
        <w:t xml:space="preserve"> </w:t>
      </w:r>
      <w:r>
        <w:rPr>
          <w:rFonts w:ascii="Times New Roman" w:hAnsi="Times New Roman"/>
          <w:sz w:val="24"/>
        </w:rPr>
        <w:t xml:space="preserve">apparatus. Section </w:t>
      </w:r>
      <w:hyperlink w:anchor="sec:mechanism">
        <w:r>
          <w:rPr>
            <w:rStyle w:val="Hyperlink"/>
          </w:rPr>
          <w:t xml:space="preserve">4</w:t>
        </w:r>
      </w:hyperlink>
      <w:r>
        <w:rPr>
          <w:rFonts w:ascii="Times New Roman" w:hAnsi="Times New Roman"/>
          <w:sz w:val="24"/>
        </w:rPr>
        <w:t xml:space="preserve"> </w:t>
      </w:r>
      <w:r>
        <w:rPr>
          <w:rFonts w:ascii="Times New Roman" w:hAnsi="Times New Roman"/>
          <w:sz w:val="24"/>
        </w:rPr>
        <w:t xml:space="preserve">presents the core argument: the grammaticalization pathway from taboo to syntax, supported by corpus evidence from CHILDES. Section </w:t>
      </w:r>
      <w:hyperlink w:anchor="sec:crossling">
        <w:r>
          <w:rPr>
            <w:rStyle w:val="Hyperlink"/>
          </w:rPr>
          <w:t xml:space="preserve">5</w:t>
        </w:r>
      </w:hyperlink>
      <w:r>
        <w:rPr>
          <w:rFonts w:ascii="Times New Roman" w:hAnsi="Times New Roman"/>
          <w:sz w:val="24"/>
        </w:rPr>
        <w:t xml:space="preserve"> </w:t>
      </w:r>
      <w:r>
        <w:rPr>
          <w:rFonts w:ascii="Times New Roman" w:hAnsi="Times New Roman"/>
          <w:sz w:val="24"/>
        </w:rPr>
        <w:t xml:space="preserve">addresses the cross-linguistic dimension. Section </w:t>
      </w:r>
      <w:hyperlink w:anchor="sec:objections">
        <w:r>
          <w:rPr>
            <w:rStyle w:val="Hyperlink"/>
          </w:rPr>
          <w:t xml:space="preserve">6</w:t>
        </w:r>
      </w:hyperlink>
      <w:r>
        <w:rPr>
          <w:rFonts w:ascii="Times New Roman" w:hAnsi="Times New Roman"/>
          <w:sz w:val="24"/>
        </w:rPr>
        <w:t xml:space="preserve"> </w:t>
      </w:r>
      <w:r>
        <w:rPr>
          <w:rFonts w:ascii="Times New Roman" w:hAnsi="Times New Roman"/>
          <w:sz w:val="24"/>
        </w:rPr>
        <w:t xml:space="preserve">considers objections and alternative explanations. Section </w:t>
      </w:r>
      <w:hyperlink w:anchor="sec:conclusion">
        <w:r>
          <w:rPr>
            <w:rStyle w:val="Hyperlink"/>
          </w:rPr>
          <w:t xml:space="preserve">7</w:t>
        </w:r>
      </w:hyperlink>
      <w:r>
        <w:rPr>
          <w:rFonts w:ascii="Times New Roman" w:hAnsi="Times New Roman"/>
          <w:sz w:val="24"/>
        </w:rPr>
        <w:t xml:space="preserve"> </w:t>
      </w:r>
      <w:r>
        <w:rPr>
          <w:rFonts w:ascii="Times New Roman" w:hAnsi="Times New Roman"/>
          <w:sz w:val="24"/>
        </w:rPr>
        <w:t xml:space="preserve">concludes.</w:t>
      </w:r>
    </w:p>
    <w:bookmarkEnd w:id="16"/>
    <w:bookmarkEnd w:id="17"/>
    <w:bookmarkStart w:id="19" w:name="sec:socio"/>
    <w:p>
      <w:pPr>
        <w:pStyle w:val="Heading1"/>
        <w:spacing w:line="480" w:lineRule="auto"/>
      </w:pPr>
      <w:r>
        <w:rPr>
          <w:rFonts w:ascii="Times New Roman" w:hAnsi="Times New Roman"/>
        </w:rPr>
        <w:t xml:space="preserve">The naming taboo</w:t>
      </w:r>
    </w:p>
    <w:p>
      <w:pPr>
        <w:pStyle w:val="FirstParagraph"/>
        <w:spacing w:line="480" w:lineRule="auto"/>
      </w:pPr>
      <w:r>
        <w:rPr>
          <w:rFonts w:ascii="Times New Roman" w:hAnsi="Times New Roman"/>
          <w:sz w:val="24"/>
        </w:rPr>
        <w:t xml:space="preserve">Naming taboos are cross-culturally pervasive but vary in visibility. In traditional Hawaii, the</w:t>
      </w:r>
      <w:r>
        <w:rPr>
          <w:rFonts w:ascii="Times New Roman" w:hAnsi="Times New Roman"/>
          <w:sz w:val="24"/>
        </w:rPr>
        <w:t xml:space="preserve"> </w:t>
      </w:r>
      <w:r>
        <w:rPr>
          <w:rFonts w:ascii="Times New Roman" w:hAnsi="Times New Roman"/>
          <w:smallCaps/>
          <w:sz w:val="24"/>
        </w:rPr>
        <w:t xml:space="preserve">kapu</w:t>
      </w:r>
      <w:r>
        <w:rPr>
          <w:rFonts w:ascii="Times New Roman" w:hAnsi="Times New Roman"/>
          <w:sz w:val="24"/>
        </w:rPr>
        <w:t xml:space="preserve"> </w:t>
      </w:r>
      <w:r>
        <w:rPr>
          <w:rFonts w:ascii="Times New Roman" w:hAnsi="Times New Roman"/>
          <w:sz w:val="24"/>
        </w:rPr>
        <w:t xml:space="preserve">system forbade commoners from speaking the names of high-ranking chiefs; violations could mean death</w:t>
      </w:r>
      <w:r>
        <w:rPr>
          <w:rFonts w:ascii="Times New Roman" w:hAnsi="Times New Roman"/>
          <w:sz w:val="24"/>
        </w:rPr>
        <w:t xml:space="preserve"> </w:t>
      </w:r>
      <w:r>
        <w:rPr>
          <w:rFonts w:ascii="Times New Roman" w:hAnsi="Times New Roman"/>
          <w:sz w:val="24"/>
        </w:rPr>
        <w:t xml:space="preserve">(Elbert &amp; Pukui 1979)</w:t>
      </w:r>
      <w:r>
        <w:rPr>
          <w:rFonts w:ascii="Times New Roman" w:hAnsi="Times New Roman"/>
          <w:sz w:val="24"/>
        </w:rPr>
        <w:t xml:space="preserve">. In Zulu culture,</w:t>
      </w:r>
      <w:r>
        <w:rPr>
          <w:rFonts w:ascii="Times New Roman" w:hAnsi="Times New Roman"/>
          <w:sz w:val="24"/>
        </w:rPr>
        <w:t xml:space="preserve"> </w:t>
      </w:r>
      <w:r>
        <w:rPr>
          <w:rFonts w:ascii="Times New Roman" w:hAnsi="Times New Roman"/>
          <w:smallCaps/>
          <w:sz w:val="24"/>
        </w:rPr>
        <w:t xml:space="preserve">hlonipha</w:t>
      </w:r>
      <w:r>
        <w:rPr>
          <w:rFonts w:ascii="Times New Roman" w:hAnsi="Times New Roman"/>
          <w:sz w:val="24"/>
        </w:rPr>
        <w:t xml:space="preserve"> </w:t>
      </w:r>
      <w:r>
        <w:rPr>
          <w:rFonts w:ascii="Times New Roman" w:hAnsi="Times New Roman"/>
          <w:sz w:val="24"/>
        </w:rPr>
        <w:t xml:space="preserve">requires married women to avoid not just in-laws’ names but any syllable appearing in those names – triggering systematic vocabulary substitution across the entire lexicon</w:t>
      </w:r>
      <w:r>
        <w:rPr>
          <w:rFonts w:ascii="Times New Roman" w:hAnsi="Times New Roman"/>
          <w:sz w:val="24"/>
        </w:rPr>
        <w:t xml:space="preserve"> </w:t>
      </w:r>
      <w:r>
        <w:rPr>
          <w:rFonts w:ascii="Times New Roman" w:hAnsi="Times New Roman"/>
          <w:sz w:val="24"/>
        </w:rPr>
        <w:t xml:space="preserve">(Irvine &amp; Gunner 2018)</w:t>
      </w:r>
      <w:r>
        <w:rPr>
          <w:rFonts w:ascii="Times New Roman" w:hAnsi="Times New Roman"/>
          <w:sz w:val="24"/>
        </w:rPr>
        <w:t xml:space="preserve">. Among the Apache, speaking a deceased person’s name is believed to summon a malevolent ghost; when someone dies, all children in the family are renamed</w:t>
      </w:r>
      <w:r>
        <w:rPr>
          <w:rFonts w:ascii="Times New Roman" w:hAnsi="Times New Roman"/>
          <w:sz w:val="24"/>
        </w:rPr>
        <w:t xml:space="preserve"> </w:t>
      </w:r>
      <w:r>
        <w:rPr>
          <w:rFonts w:ascii="Times New Roman" w:hAnsi="Times New Roman"/>
          <w:sz w:val="24"/>
        </w:rPr>
        <w:t xml:space="preserve">(Opler 1941)</w:t>
      </w:r>
      <w:r>
        <w:rPr>
          <w:rFonts w:ascii="Times New Roman" w:hAnsi="Times New Roman"/>
          <w:sz w:val="24"/>
        </w:rPr>
        <w:t xml:space="preserve">. In traditional China, the system of</w:t>
      </w:r>
      <w:r>
        <w:rPr>
          <w:rFonts w:ascii="Times New Roman" w:hAnsi="Times New Roman"/>
          <w:sz w:val="24"/>
        </w:rPr>
        <w:t xml:space="preserve"> </w:t>
      </w:r>
      <w:r>
        <w:rPr>
          <w:rFonts w:ascii="Times New Roman" w:hAnsi="Times New Roman"/>
          <w:smallCaps/>
          <w:sz w:val="24"/>
        </w:rPr>
        <w:t xml:space="preserve">bìhuì</w:t>
      </w:r>
      <w:r>
        <w:rPr>
          <w:rFonts w:ascii="Times New Roman" w:hAnsi="Times New Roman"/>
          <w:sz w:val="24"/>
        </w:rPr>
        <w:t xml:space="preserve"> </w:t>
      </w:r>
      <w:r>
        <w:rPr>
          <w:rFonts w:ascii="Times New Roman" w:hAnsi="Times New Roman"/>
          <w:sz w:val="24"/>
        </w:rPr>
        <w:t xml:space="preserve">prohibited speaking or writing the personal names of emperors and ancestors; characters appearing in a ruler’s name were banned from official documents</w:t>
      </w:r>
      <w:r>
        <w:rPr>
          <w:rFonts w:ascii="Times New Roman" w:hAnsi="Times New Roman"/>
          <w:sz w:val="24"/>
        </w:rPr>
        <w:t xml:space="preserve"> </w:t>
      </w:r>
      <w:r>
        <w:rPr>
          <w:rFonts w:ascii="Times New Roman" w:hAnsi="Times New Roman"/>
          <w:sz w:val="24"/>
        </w:rPr>
        <w:t xml:space="preserve">(Adamek 2012)</w:t>
      </w:r>
      <w:r>
        <w:rPr>
          <w:rFonts w:ascii="Times New Roman" w:hAnsi="Times New Roman"/>
          <w:sz w:val="24"/>
        </w:rPr>
        <w:t xml:space="preserve">. Naming taboos can restructure language.</w:t>
      </w:r>
    </w:p>
    <w:p>
      <w:pPr>
        <w:pStyle w:val="BodyText"/>
        <w:spacing w:line="480" w:lineRule="auto"/>
        <w:ind w:firstLine="720"/>
      </w:pPr>
      <w:r>
        <w:rPr>
          <w:rFonts w:ascii="Times New Roman" w:hAnsi="Times New Roman"/>
          <w:sz w:val="24"/>
        </w:rPr>
        <w:t xml:space="preserve">English has a naming taboo too,</w:t>
      </w:r>
      <w:r>
        <w:rPr>
          <w:rStyle w:val="EndnoteReference"/>
          <w:rFonts w:ascii="Times New Roman" w:hAnsi="Times New Roman"/>
          <w:sz w:val="24"/>
        </w:rPr>
        <w:endnoteReference w:id="18"/>
      </w:r>
      <w:r>
        <w:rPr>
          <w:rFonts w:ascii="Times New Roman" w:hAnsi="Times New Roman"/>
          <w:sz w:val="24"/>
        </w:rPr>
        <w:t xml:space="preserve"> </w:t>
      </w:r>
      <w:r>
        <w:rPr>
          <w:rFonts w:ascii="Times New Roman" w:hAnsi="Times New Roman"/>
          <w:sz w:val="24"/>
        </w:rPr>
        <w:t xml:space="preserve">but it is so familiar that native speakers rarely notice it. Still, the literature on address forms has documented a robust asymmetry in English-speaking families: parents address children by first name; children address parents by kinship term. Far from being a quirk of individual families, it’s a social rule, enforced by correction and marked by discomfort when violated.</w:t>
      </w:r>
    </w:p>
    <w:p>
      <w:pPr>
        <w:pStyle w:val="BodyText"/>
        <w:spacing w:line="480" w:lineRule="auto"/>
        <w:ind w:firstLine="720"/>
      </w:pPr>
      <w:r>
        <w:rPr>
          <w:rFonts w:ascii="Times New Roman" w:hAnsi="Times New Roman"/>
          <w:sz w:val="24"/>
        </w:rPr>
        <w:t xml:space="preserve">The foundational framework comes from</w:t>
      </w:r>
      <w:r>
        <w:rPr>
          <w:rFonts w:ascii="Times New Roman" w:hAnsi="Times New Roman"/>
          <w:sz w:val="24"/>
        </w:rPr>
        <w:t xml:space="preserve"> </w:t>
      </w:r>
      <w:r>
        <w:rPr>
          <w:rFonts w:ascii="Times New Roman" w:hAnsi="Times New Roman"/>
          <w:sz w:val="24"/>
        </w:rPr>
        <w:t xml:space="preserve">Brown &amp; Gilman (1960)</w:t>
      </w:r>
      <w:r>
        <w:rPr>
          <w:rFonts w:ascii="Times New Roman" w:hAnsi="Times New Roman"/>
          <w:sz w:val="24"/>
        </w:rPr>
        <w:t xml:space="preserve">, who analysed the pronouns of power and solidarity in European languages. The T/V distinction (familiar</w:t>
      </w:r>
      <w:r>
        <w:rPr>
          <w:rFonts w:ascii="Times New Roman" w:hAnsi="Times New Roman"/>
          <w:sz w:val="24"/>
        </w:rPr>
        <w:t xml:space="preserve"> </w:t>
      </w:r>
      <w:r>
        <w:rPr>
          <w:rFonts w:ascii="Times New Roman" w:hAnsi="Times New Roman"/>
          <w:i/>
          <w:iCs/>
          <w:sz w:val="24"/>
        </w:rPr>
        <w:t xml:space="preserve">tu</w:t>
      </w:r>
      <w:r>
        <w:rPr>
          <w:rFonts w:ascii="Times New Roman" w:hAnsi="Times New Roman"/>
          <w:sz w:val="24"/>
        </w:rPr>
        <w:t xml:space="preserve"> </w:t>
      </w:r>
      <w:r>
        <w:rPr>
          <w:rFonts w:ascii="Times New Roman" w:hAnsi="Times New Roman"/>
          <w:sz w:val="24"/>
        </w:rPr>
        <w:t xml:space="preserve">vs. formal</w:t>
      </w:r>
      <w:r>
        <w:rPr>
          <w:rFonts w:ascii="Times New Roman" w:hAnsi="Times New Roman"/>
          <w:sz w:val="24"/>
        </w:rPr>
        <w:t xml:space="preserve"> </w:t>
      </w:r>
      <w:r>
        <w:rPr>
          <w:rFonts w:ascii="Times New Roman" w:hAnsi="Times New Roman"/>
          <w:i/>
          <w:iCs/>
          <w:sz w:val="24"/>
        </w:rPr>
        <w:t xml:space="preserve">vous</w:t>
      </w:r>
      <w:r>
        <w:rPr>
          <w:rFonts w:ascii="Times New Roman" w:hAnsi="Times New Roman"/>
          <w:sz w:val="24"/>
        </w:rPr>
        <w:t xml:space="preserve">) encodes social relationships along dimensions of</w:t>
      </w:r>
      <w:r>
        <w:rPr>
          <w:rFonts w:ascii="Times New Roman" w:hAnsi="Times New Roman"/>
          <w:sz w:val="24"/>
        </w:rPr>
        <w:t xml:space="preserve"> </w:t>
      </w:r>
      <w:r>
        <w:rPr>
          <w:rFonts w:ascii="Times New Roman" w:hAnsi="Times New Roman"/>
          <w:smallCaps/>
          <w:sz w:val="24"/>
        </w:rPr>
        <w:t xml:space="preserve">power</w:t>
      </w:r>
      <w:r>
        <w:rPr>
          <w:rFonts w:ascii="Times New Roman" w:hAnsi="Times New Roman"/>
          <w:sz w:val="24"/>
        </w:rPr>
        <w:t xml:space="preserve"> </w:t>
      </w:r>
      <w:r>
        <w:rPr>
          <w:rFonts w:ascii="Times New Roman" w:hAnsi="Times New Roman"/>
          <w:sz w:val="24"/>
        </w:rPr>
        <w:t xml:space="preserve">(asymmetric) and</w:t>
      </w:r>
      <w:r>
        <w:rPr>
          <w:rFonts w:ascii="Times New Roman" w:hAnsi="Times New Roman"/>
          <w:sz w:val="24"/>
        </w:rPr>
        <w:t xml:space="preserve"> </w:t>
      </w:r>
      <w:r>
        <w:rPr>
          <w:rFonts w:ascii="Times New Roman" w:hAnsi="Times New Roman"/>
          <w:smallCaps/>
          <w:sz w:val="24"/>
        </w:rPr>
        <w:t xml:space="preserve">solidarity</w:t>
      </w:r>
      <w:r>
        <w:rPr>
          <w:rFonts w:ascii="Times New Roman" w:hAnsi="Times New Roman"/>
          <w:sz w:val="24"/>
        </w:rPr>
        <w:t xml:space="preserve"> </w:t>
      </w:r>
      <w:r>
        <w:rPr>
          <w:rFonts w:ascii="Times New Roman" w:hAnsi="Times New Roman"/>
          <w:sz w:val="24"/>
        </w:rPr>
        <w:t xml:space="preserve">(symmetric).</w:t>
      </w:r>
      <w:r>
        <w:rPr>
          <w:rFonts w:ascii="Times New Roman" w:hAnsi="Times New Roman"/>
          <w:sz w:val="24"/>
        </w:rPr>
        <w:t xml:space="preserve"> </w:t>
      </w:r>
      <w:r>
        <w:rPr>
          <w:rFonts w:ascii="Times New Roman" w:hAnsi="Times New Roman"/>
          <w:sz w:val="24"/>
        </w:rPr>
        <w:t xml:space="preserve">Brown &amp; Ford (1961)</w:t>
      </w:r>
      <w:r>
        <w:rPr>
          <w:rFonts w:ascii="Times New Roman" w:hAnsi="Times New Roman"/>
          <w:sz w:val="24"/>
        </w:rPr>
        <w:t xml:space="preserve"> </w:t>
      </w:r>
      <w:r>
        <w:rPr>
          <w:rFonts w:ascii="Times New Roman" w:hAnsi="Times New Roman"/>
          <w:sz w:val="24"/>
        </w:rPr>
        <w:t xml:space="preserve">extended this logic to naming: superiors give first names and receive titles; intimates exchange first names; formal equals exchange titles. While English address habits have shifted toward greater informality in many domains</w:t>
      </w:r>
      <w:r>
        <w:rPr>
          <w:rFonts w:ascii="Times New Roman" w:hAnsi="Times New Roman"/>
          <w:sz w:val="24"/>
        </w:rPr>
        <w:t xml:space="preserve"> </w:t>
      </w:r>
      <w:r>
        <w:rPr>
          <w:rFonts w:ascii="Times New Roman" w:hAnsi="Times New Roman"/>
          <w:sz w:val="24"/>
        </w:rPr>
        <w:t xml:space="preserve">(Leech 2014)</w:t>
      </w:r>
      <w:r>
        <w:rPr>
          <w:rFonts w:ascii="Times New Roman" w:hAnsi="Times New Roman"/>
          <w:sz w:val="24"/>
        </w:rPr>
        <w:t xml:space="preserve">, the parent-child asymmetry has proved more resistant – the key finding for present purposes is that this particular asymmetry persists even as others weaken.</w:t>
      </w:r>
    </w:p>
    <w:p>
      <w:pPr>
        <w:pStyle w:val="BodyText"/>
        <w:spacing w:line="480" w:lineRule="auto"/>
        <w:ind w:firstLine="720"/>
      </w:pPr>
      <w:r>
        <w:rPr>
          <w:rFonts w:ascii="Times New Roman" w:hAnsi="Times New Roman"/>
          <w:sz w:val="24"/>
        </w:rPr>
        <w:t xml:space="preserve">Within the family, the parent-child dyad exhibits a paradigmatic power asymmetry. Parents freely use children’s first names, nicknames, or terms of endearment, but rarely kinship terms</w:t>
      </w:r>
      <w:r>
        <w:rPr>
          <w:rFonts w:ascii="Times New Roman" w:hAnsi="Times New Roman"/>
          <w:sz w:val="24"/>
        </w:rPr>
        <w:t xml:space="preserve"> </w:t>
      </w:r>
      <w:r>
        <w:rPr>
          <w:rFonts w:ascii="Times New Roman" w:hAnsi="Times New Roman"/>
          <w:sz w:val="24"/>
        </w:rPr>
        <w:t xml:space="preserve">(Dziwirek 2019)</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Sarah, time for dinner</w:t>
      </w:r>
      <w:r>
        <w:rPr>
          <w:rFonts w:ascii="Times New Roman" w:hAnsi="Times New Roman"/>
          <w:sz w:val="24"/>
        </w:rPr>
        <w:t xml:space="preserve">. Children rarely reciprocate: *</w:t>
      </w:r>
      <w:r>
        <w:rPr>
          <w:rFonts w:ascii="Times New Roman" w:hAnsi="Times New Roman"/>
          <w:i/>
          <w:iCs/>
          <w:sz w:val="24"/>
        </w:rPr>
        <w:t xml:space="preserve">Sarah, when’s dinner?</w:t>
      </w:r>
      <w:r>
        <w:rPr>
          <w:rFonts w:ascii="Times New Roman" w:hAnsi="Times New Roman"/>
          <w:sz w:val="24"/>
        </w:rPr>
        <w:t xml:space="preserve"> </w:t>
      </w:r>
      <w:r>
        <w:rPr>
          <w:rFonts w:ascii="Times New Roman" w:hAnsi="Times New Roman"/>
          <w:sz w:val="24"/>
        </w:rPr>
        <w:t xml:space="preserve">(addressed to their mother named Sarah). Instead, children use kinship terms:</w:t>
      </w:r>
      <w:r>
        <w:rPr>
          <w:rFonts w:ascii="Times New Roman" w:hAnsi="Times New Roman"/>
          <w:sz w:val="24"/>
        </w:rPr>
        <w:t xml:space="preserve"> </w:t>
      </w:r>
      <w:r>
        <w:rPr>
          <w:rFonts w:ascii="Times New Roman" w:hAnsi="Times New Roman"/>
          <w:i/>
          <w:iCs/>
          <w:sz w:val="24"/>
        </w:rPr>
        <w:t xml:space="preserve">Mom, when’s dinner?</w:t>
      </w:r>
    </w:p>
    <w:p>
      <w:pPr>
        <w:pStyle w:val="BodyText"/>
        <w:spacing w:line="480" w:lineRule="auto"/>
        <w:ind w:firstLine="720"/>
      </w:pPr>
      <w:r>
        <w:rPr>
          <w:rFonts w:ascii="Times New Roman" w:hAnsi="Times New Roman"/>
          <w:sz w:val="24"/>
        </w:rPr>
        <w:t xml:space="preserve">This asymmetry persists into adulthood. Even when children are themselves parents, even when they have adult relationships with their aging parents, first-name address remains marked. For ascending kin,</w:t>
      </w:r>
      <w:r>
        <w:rPr>
          <w:rFonts w:ascii="Times New Roman" w:hAnsi="Times New Roman"/>
          <w:sz w:val="24"/>
        </w:rPr>
        <w:t xml:space="preserve"> </w:t>
      </w:r>
      <w:r>
        <w:rPr>
          <w:rFonts w:ascii="Times New Roman" w:hAnsi="Times New Roman"/>
          <w:sz w:val="24"/>
        </w:rPr>
        <w:t xml:space="preserve">“avoidance of the personal name may become a virtual mandate”</w:t>
      </w:r>
      <w:r>
        <w:rPr>
          <w:rFonts w:ascii="Times New Roman" w:hAnsi="Times New Roman"/>
          <w:sz w:val="24"/>
        </w:rPr>
        <w:t xml:space="preserve"> </w:t>
      </w:r>
      <w:r>
        <w:rPr>
          <w:rFonts w:ascii="Times New Roman" w:hAnsi="Times New Roman"/>
          <w:sz w:val="24"/>
        </w:rPr>
        <w:t xml:space="preserve">(Downing 1996: 120)</w:t>
      </w:r>
      <w:r>
        <w:rPr>
          <w:rFonts w:ascii="Times New Roman" w:hAnsi="Times New Roman"/>
          <w:sz w:val="24"/>
        </w:rPr>
        <w:t xml:space="preserve">. The taboo concerns not childhood dependency but a social relation encoded in language and maintained across the lifespan. This matters for the mechanism: the frequency pressure doesn’t stop at adolescence but continues to reinforce entrenchment throughout adulthood.</w:t>
      </w:r>
    </w:p>
    <w:p>
      <w:pPr>
        <w:pStyle w:val="BodyText"/>
        <w:spacing w:line="480" w:lineRule="auto"/>
        <w:ind w:firstLine="720"/>
      </w:pPr>
      <w:r>
        <w:rPr>
          <w:rFonts w:ascii="Times New Roman" w:hAnsi="Times New Roman"/>
          <w:sz w:val="24"/>
        </w:rPr>
        <w:t xml:space="preserve">Dickey (1997)</w:t>
      </w:r>
      <w:r>
        <w:rPr>
          <w:rFonts w:ascii="Times New Roman" w:hAnsi="Times New Roman"/>
          <w:sz w:val="24"/>
        </w:rPr>
        <w:t xml:space="preserve"> </w:t>
      </w:r>
      <w:r>
        <w:rPr>
          <w:rFonts w:ascii="Times New Roman" w:hAnsi="Times New Roman"/>
          <w:sz w:val="24"/>
        </w:rPr>
        <w:t xml:space="preserve">provides a systematic treatment of address forms and terms of reference, documenting the forms available in English and their sociopragmatic conditioning. The kinship-term-for-parent pattern is noted as near-categorical in non-marked contexts. What makes it a</w:t>
      </w:r>
      <w:r>
        <w:rPr>
          <w:rFonts w:ascii="Times New Roman" w:hAnsi="Times New Roman"/>
          <w:sz w:val="24"/>
        </w:rPr>
        <w:t xml:space="preserve"> </w:t>
      </w:r>
      <w:r>
        <w:rPr>
          <w:rFonts w:ascii="Times New Roman" w:hAnsi="Times New Roman"/>
          <w:smallCaps/>
          <w:sz w:val="24"/>
        </w:rPr>
        <w:t xml:space="preserve">taboo</w:t>
      </w:r>
      <w:r>
        <w:rPr>
          <w:rFonts w:ascii="Times New Roman" w:hAnsi="Times New Roman"/>
          <w:sz w:val="24"/>
        </w:rPr>
        <w:t xml:space="preserve"> </w:t>
      </w:r>
      <w:r>
        <w:rPr>
          <w:rFonts w:ascii="Times New Roman" w:hAnsi="Times New Roman"/>
          <w:sz w:val="24"/>
        </w:rPr>
        <w:t xml:space="preserve">rather than a mere preference is the affective response to violation: discomfort, face-threat, sometimes correction. (Call your mother</w:t>
      </w:r>
      <w:r>
        <w:rPr>
          <w:rFonts w:ascii="Times New Roman" w:hAnsi="Times New Roman"/>
          <w:sz w:val="24"/>
        </w:rPr>
        <w:t xml:space="preserve"> </w:t>
      </w:r>
      <w:r>
        <w:rPr>
          <w:rFonts w:ascii="Times New Roman" w:hAnsi="Times New Roman"/>
          <w:i/>
          <w:iCs/>
          <w:sz w:val="24"/>
        </w:rPr>
        <w:t xml:space="preserve">Sarah</w:t>
      </w:r>
      <w:r>
        <w:rPr>
          <w:rFonts w:ascii="Times New Roman" w:hAnsi="Times New Roman"/>
          <w:sz w:val="24"/>
        </w:rPr>
        <w:t xml:space="preserve"> </w:t>
      </w:r>
      <w:r>
        <w:rPr>
          <w:rFonts w:ascii="Times New Roman" w:hAnsi="Times New Roman"/>
          <w:sz w:val="24"/>
        </w:rPr>
        <w:t xml:space="preserve">at the dinner table; the dependent variable is silence.) This response is documented anecdotally throughout the address literature, but experimental evidence (e.g., reaction-time or judgment data) remains a gap worth filling.</w:t>
      </w:r>
    </w:p>
    <w:p>
      <w:pPr>
        <w:pStyle w:val="BodyText"/>
        <w:spacing w:line="480" w:lineRule="auto"/>
        <w:ind w:firstLine="720"/>
      </w:pPr>
      <w:r>
        <w:rPr>
          <w:rFonts w:ascii="Times New Roman" w:hAnsi="Times New Roman"/>
          <w:sz w:val="24"/>
        </w:rPr>
        <w:t xml:space="preserve">The naming taboo is best understood through politeness theory.</w:t>
      </w:r>
      <w:r>
        <w:rPr>
          <w:rFonts w:ascii="Times New Roman" w:hAnsi="Times New Roman"/>
          <w:sz w:val="24"/>
        </w:rPr>
        <w:t xml:space="preserve"> </w:t>
      </w:r>
      <w:r>
        <w:rPr>
          <w:rFonts w:ascii="Times New Roman" w:hAnsi="Times New Roman"/>
          <w:sz w:val="24"/>
        </w:rPr>
        <w:t xml:space="preserve">Brown &amp; Levinson (1987)</w:t>
      </w:r>
      <w:r>
        <w:rPr>
          <w:rFonts w:ascii="Times New Roman" w:hAnsi="Times New Roman"/>
          <w:sz w:val="24"/>
        </w:rPr>
        <w:t xml:space="preserve"> </w:t>
      </w:r>
      <w:r>
        <w:rPr>
          <w:rFonts w:ascii="Times New Roman" w:hAnsi="Times New Roman"/>
          <w:sz w:val="24"/>
        </w:rPr>
        <w:t xml:space="preserve">analyse linguistic politeness as the management of</w:t>
      </w:r>
      <w:r>
        <w:rPr>
          <w:rFonts w:ascii="Times New Roman" w:hAnsi="Times New Roman"/>
          <w:sz w:val="24"/>
        </w:rPr>
        <w:t xml:space="preserve"> </w:t>
      </w:r>
      <w:r>
        <w:rPr>
          <w:rFonts w:ascii="Times New Roman" w:hAnsi="Times New Roman"/>
          <w:smallCaps/>
          <w:sz w:val="24"/>
        </w:rPr>
        <w:t xml:space="preserve">face</w:t>
      </w:r>
      <w:r>
        <w:rPr>
          <w:rFonts w:ascii="Times New Roman" w:hAnsi="Times New Roman"/>
          <w:sz w:val="24"/>
        </w:rPr>
        <w:t xml:space="preserve"> </w:t>
      </w:r>
      <w:r>
        <w:rPr>
          <w:rFonts w:ascii="Times New Roman" w:hAnsi="Times New Roman"/>
          <w:sz w:val="24"/>
        </w:rPr>
        <w:t xml:space="preserve">– the public self-image that interactants claim and mutually support. Address violations threaten face. A child who calls their parent by first name threatens the parent’s positive face by refusing the conventional relationship marker, and simultaneously threatens their own positive face by signalling social incompetence or inappropriate defiance.</w:t>
      </w:r>
    </w:p>
    <w:p>
      <w:pPr>
        <w:pStyle w:val="BodyText"/>
        <w:spacing w:line="480" w:lineRule="auto"/>
        <w:ind w:firstLine="720"/>
      </w:pPr>
      <w:r>
        <w:rPr>
          <w:rFonts w:ascii="Times New Roman" w:hAnsi="Times New Roman"/>
          <w:sz w:val="24"/>
        </w:rPr>
        <w:t xml:space="preserve">This face-threat explains the affective charge of the taboo. The</w:t>
      </w:r>
      <w:r>
        <w:rPr>
          <w:rFonts w:ascii="Times New Roman" w:hAnsi="Times New Roman"/>
          <w:sz w:val="24"/>
        </w:rPr>
        <w:t xml:space="preserve"> </w:t>
      </w:r>
      <w:r>
        <w:rPr>
          <w:rFonts w:ascii="Times New Roman" w:hAnsi="Times New Roman"/>
          <w:sz w:val="24"/>
        </w:rPr>
        <w:t xml:space="preserve">“wrongness”</w:t>
      </w:r>
      <w:r>
        <w:rPr>
          <w:rFonts w:ascii="Times New Roman" w:hAnsi="Times New Roman"/>
          <w:sz w:val="24"/>
        </w:rPr>
        <w:t xml:space="preserve"> </w:t>
      </w:r>
      <w:r>
        <w:rPr>
          <w:rFonts w:ascii="Times New Roman" w:hAnsi="Times New Roman"/>
          <w:sz w:val="24"/>
        </w:rPr>
        <w:t xml:space="preserve">of hearing a peer say</w:t>
      </w:r>
      <w:r>
        <w:rPr>
          <w:rFonts w:ascii="Times New Roman" w:hAnsi="Times New Roman"/>
          <w:sz w:val="24"/>
        </w:rPr>
        <w:t xml:space="preserve"> </w:t>
      </w:r>
      <w:r>
        <w:rPr>
          <w:rFonts w:ascii="Times New Roman" w:hAnsi="Times New Roman"/>
          <w:sz w:val="24"/>
        </w:rPr>
        <w:t xml:space="preserve">“Hey, Nick”</w:t>
      </w:r>
      <w:r>
        <w:rPr>
          <w:rFonts w:ascii="Times New Roman" w:hAnsi="Times New Roman"/>
          <w:sz w:val="24"/>
        </w:rPr>
        <w:t xml:space="preserve"> </w:t>
      </w:r>
      <w:r>
        <w:rPr>
          <w:rFonts w:ascii="Times New Roman" w:hAnsi="Times New Roman"/>
          <w:sz w:val="24"/>
        </w:rPr>
        <w:t xml:space="preserve">to their father isn’t merely unconventional. It indexes a stance – claimed equality, refused deference – that violates expectations about parent-child relations. The discomfort is social, not merely linguistic. And because the discomfort is social, the taboo is enforced – which means the frequency pressure is sustained, generation after generation.</w:t>
      </w:r>
    </w:p>
    <w:p>
      <w:pPr>
        <w:pStyle w:val="BodyText"/>
        <w:spacing w:line="480" w:lineRule="auto"/>
        <w:ind w:firstLine="720"/>
      </w:pPr>
      <w:r>
        <w:rPr>
          <w:rFonts w:ascii="Times New Roman" w:hAnsi="Times New Roman"/>
          <w:sz w:val="24"/>
        </w:rPr>
        <w:t xml:space="preserve">Here is where the English taboo diverges from other naming taboos typologically. All naming taboos prohibit names, but they differ in their downstream linguistic effects. In hlonipha, avoidance of in-law name syllables drives</w:t>
      </w:r>
      <w:r>
        <w:rPr>
          <w:rFonts w:ascii="Times New Roman" w:hAnsi="Times New Roman"/>
          <w:sz w:val="24"/>
        </w:rPr>
        <w:t xml:space="preserve"> </w:t>
      </w:r>
      <w:r>
        <w:rPr>
          <w:rFonts w:ascii="Times New Roman" w:hAnsi="Times New Roman"/>
          <w:i/>
          <w:iCs/>
          <w:sz w:val="24"/>
        </w:rPr>
        <w:t xml:space="preserve">lexical replacement</w:t>
      </w:r>
      <w:r>
        <w:rPr>
          <w:rFonts w:ascii="Times New Roman" w:hAnsi="Times New Roman"/>
          <w:sz w:val="24"/>
        </w:rPr>
        <w:t xml:space="preserve">: ordinary vocabulary containing the taboo syllables is lost and replaced by circumlocutions or neologisms. The English parent-child taboo has a different consequence. The prohibited first name has a ready substitute – the kinship term – and the taboo forces that substitute into the slot the name would have occupied. The result isn’t lexical loss but</w:t>
      </w:r>
      <w:r>
        <w:rPr>
          <w:rFonts w:ascii="Times New Roman" w:hAnsi="Times New Roman"/>
          <w:sz w:val="24"/>
        </w:rPr>
        <w:t xml:space="preserve"> </w:t>
      </w:r>
      <w:r>
        <w:rPr>
          <w:rFonts w:ascii="Times New Roman" w:hAnsi="Times New Roman"/>
          <w:i/>
          <w:iCs/>
          <w:sz w:val="24"/>
        </w:rPr>
        <w:t xml:space="preserve">frequency concentration</w:t>
      </w:r>
      <w:r>
        <w:rPr>
          <w:rFonts w:ascii="Times New Roman" w:hAnsi="Times New Roman"/>
          <w:sz w:val="24"/>
        </w:rPr>
        <w:t xml:space="preserve">: the kinship term absorbs all the uses that would otherwise be distributed across first names, nicknames, and other address forms. Frequency concentration, on standard usage-based accounts, is the engine of grammaticalization.</w:t>
      </w:r>
    </w:p>
    <w:p>
      <w:pPr>
        <w:pStyle w:val="BodyText"/>
        <w:spacing w:line="480" w:lineRule="auto"/>
        <w:ind w:firstLine="720"/>
      </w:pPr>
      <w:r>
        <w:rPr>
          <w:rFonts w:ascii="Times New Roman" w:hAnsi="Times New Roman"/>
          <w:sz w:val="24"/>
        </w:rPr>
        <w:t xml:space="preserve">Because children can’t use parents’ first names, they have to use kinship terms – a constrained selection with the constraint enforced by social pressure, not a free choice among alternatives. This creates a distributional monopoly in name position that ordinary frequency effects don’t produce.</w:t>
      </w:r>
    </w:p>
    <w:p>
      <w:pPr>
        <w:pStyle w:val="BodyText"/>
        <w:spacing w:line="480" w:lineRule="auto"/>
        <w:ind w:firstLine="720"/>
      </w:pPr>
      <w:r>
        <w:rPr>
          <w:rFonts w:ascii="Times New Roman" w:hAnsi="Times New Roman"/>
          <w:sz w:val="24"/>
        </w:rPr>
        <w:t xml:space="preserve">The taboo’s strength likely varies across English-speaking communities. Regional, class, ethnic, and family-structure variation in address norms is well documented</w:t>
      </w:r>
      <w:r>
        <w:rPr>
          <w:rFonts w:ascii="Times New Roman" w:hAnsi="Times New Roman"/>
          <w:sz w:val="24"/>
        </w:rPr>
        <w:t xml:space="preserve"> </w:t>
      </w:r>
      <w:r>
        <w:rPr>
          <w:rFonts w:ascii="Times New Roman" w:hAnsi="Times New Roman"/>
          <w:sz w:val="24"/>
        </w:rPr>
        <w:t xml:space="preserve">(Wolfram &amp; Schilling 2015)</w:t>
      </w:r>
      <w:r>
        <w:rPr>
          <w:rFonts w:ascii="Times New Roman" w:hAnsi="Times New Roman"/>
          <w:sz w:val="24"/>
        </w:rPr>
        <w:t xml:space="preserve">, though systematic data on kinship-term taboo strength across varieties remain sparse. The mechanism predicts that communities with stronger taboos – where first-name use is more consistently prohibited and more sharply sanctioned – should show stronger proper-noun properties for kinship terms; communities with weaker taboos should show weaker properties. This prediction connects to the within-family variation discussed in Section </w:t>
      </w:r>
      <w:hyperlink w:anchor="sec:objections">
        <w:r>
          <w:rPr>
            <w:rStyle w:val="Hyperlink"/>
          </w:rPr>
          <w:t xml:space="preserve">6</w:t>
        </w:r>
      </w:hyperlink>
      <w:r>
        <w:rPr>
          <w:rFonts w:ascii="Times New Roman" w:hAnsi="Times New Roman"/>
          <w:sz w:val="24"/>
        </w:rPr>
        <w:t xml:space="preserve">: gradience in taboo enforcement should produce gradience in syntactic outcome.</w:t>
      </w:r>
    </w:p>
    <w:bookmarkEnd w:id="19"/>
    <w:bookmarkStart w:id="20" w:name="sec:syntax"/>
    <w:p>
      <w:pPr>
        <w:pStyle w:val="Heading1"/>
        <w:spacing w:line="480" w:lineRule="auto"/>
      </w:pPr>
      <w:r>
        <w:rPr>
          <w:rFonts w:ascii="Times New Roman" w:hAnsi="Times New Roman"/>
        </w:rPr>
        <w:t xml:space="preserve">Kinship terms with proper-name status</w:t>
      </w:r>
    </w:p>
    <w:p>
      <w:pPr>
        <w:pStyle w:val="FirstParagraph"/>
        <w:spacing w:line="480" w:lineRule="auto"/>
      </w:pPr>
      <w:r>
        <w:rPr>
          <w:rFonts w:ascii="Times New Roman" w:hAnsi="Times New Roman"/>
          <w:sz w:val="24"/>
        </w:rPr>
        <w:t xml:space="preserve">The syntactic facts about kinship terms have been described, but their significance hasn’t been connected to the sociolinguistic facts reviewed above. This section provides the precise analytical apparatus for characterizing what’s grammatically distinctive about</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w:t>
      </w:r>
    </w:p>
    <w:p>
      <w:pPr>
        <w:pStyle w:val="BodyText"/>
        <w:spacing w:line="480" w:lineRule="auto"/>
        <w:ind w:firstLine="720"/>
      </w:pPr>
      <w:r>
        <w:rPr>
          <w:rFonts w:ascii="Times New Roman" w:hAnsi="Times New Roman"/>
          <w:i/>
          <w:iCs/>
          <w:sz w:val="24"/>
        </w:rPr>
        <w:t xml:space="preserve">The Cambridge Grammar of the English Language</w:t>
      </w:r>
      <w:r>
        <w:rPr>
          <w:rFonts w:ascii="Times New Roman" w:hAnsi="Times New Roman"/>
          <w:sz w:val="24"/>
        </w:rPr>
        <w:t xml:space="preserve"> </w:t>
      </w:r>
      <w:r>
        <w:rPr>
          <w:rFonts w:ascii="Times New Roman" w:hAnsi="Times New Roman"/>
          <w:sz w:val="24"/>
        </w:rPr>
        <w:t xml:space="preserve">(Huddleston &amp; Pullum 2002)</w:t>
      </w:r>
      <w:r>
        <w:rPr>
          <w:rFonts w:ascii="Times New Roman" w:hAnsi="Times New Roman"/>
          <w:sz w:val="24"/>
        </w:rPr>
        <w:t xml:space="preserve"> </w:t>
      </w:r>
      <w:r>
        <w:rPr>
          <w:rFonts w:ascii="Times New Roman" w:hAnsi="Times New Roman"/>
          <w:sz w:val="24"/>
        </w:rPr>
        <w:t xml:space="preserve">distinguishes carefully between lexical category and naming function. A</w:t>
      </w:r>
      <w:r>
        <w:rPr>
          <w:rFonts w:ascii="Times New Roman" w:hAnsi="Times New Roman"/>
          <w:sz w:val="24"/>
        </w:rPr>
        <w:t xml:space="preserve"> </w:t>
      </w:r>
      <w:r>
        <w:rPr>
          <w:rFonts w:ascii="Times New Roman" w:hAnsi="Times New Roman"/>
          <w:smallCaps/>
          <w:sz w:val="24"/>
        </w:rPr>
        <w:t xml:space="preserve">proper noun</w:t>
      </w:r>
      <w:r>
        <w:rPr>
          <w:rFonts w:ascii="Times New Roman" w:hAnsi="Times New Roman"/>
          <w:sz w:val="24"/>
        </w:rPr>
        <w:t xml:space="preserve"> </w:t>
      </w:r>
      <w:r>
        <w:rPr>
          <w:rFonts w:ascii="Times New Roman" w:hAnsi="Times New Roman"/>
          <w:sz w:val="24"/>
        </w:rPr>
        <w:t xml:space="preserve">is a lexical category – a subcategory of nouns specialized for naming. A</w:t>
      </w:r>
      <w:r>
        <w:rPr>
          <w:rFonts w:ascii="Times New Roman" w:hAnsi="Times New Roman"/>
          <w:sz w:val="24"/>
        </w:rPr>
        <w:t xml:space="preserve"> </w:t>
      </w:r>
      <w:r>
        <w:rPr>
          <w:rFonts w:ascii="Times New Roman" w:hAnsi="Times New Roman"/>
          <w:smallCaps/>
          <w:sz w:val="24"/>
        </w:rPr>
        <w:t xml:space="preserve">proper name</w:t>
      </w:r>
      <w:r>
        <w:rPr>
          <w:rFonts w:ascii="Times New Roman" w:hAnsi="Times New Roman"/>
          <w:sz w:val="24"/>
        </w:rPr>
        <w:t xml:space="preserve"> </w:t>
      </w:r>
      <w:r>
        <w:rPr>
          <w:rFonts w:ascii="Times New Roman" w:hAnsi="Times New Roman"/>
          <w:sz w:val="24"/>
        </w:rPr>
        <w:t xml:space="preserve">is an expression conventionally adopted to denote a unique entity. The two can come apart.</w:t>
      </w:r>
    </w:p>
    <w:p>
      <w:pPr>
        <w:pStyle w:val="BodyText"/>
        <w:spacing w:line="480" w:lineRule="auto"/>
        <w:ind w:firstLine="720"/>
      </w:pPr>
      <w:r>
        <w:rPr>
          <w:rFonts w:ascii="Times New Roman" w:hAnsi="Times New Roman"/>
          <w:sz w:val="24"/>
        </w:rPr>
        <w:t xml:space="preserve">Consider</w:t>
      </w:r>
      <w:r>
        <w:rPr>
          <w:rFonts w:ascii="Times New Roman" w:hAnsi="Times New Roman"/>
          <w:sz w:val="24"/>
        </w:rPr>
        <w:t xml:space="preserve"> </w:t>
      </w:r>
      <w:r>
        <w:rPr>
          <w:rFonts w:ascii="Times New Roman" w:hAnsi="Times New Roman"/>
          <w:i/>
          <w:iCs/>
          <w:sz w:val="24"/>
        </w:rPr>
        <w:t xml:space="preserve">the United Kingdom</w:t>
      </w:r>
      <w:r>
        <w:rPr>
          <w:rFonts w:ascii="Times New Roman" w:hAnsi="Times New Roman"/>
          <w:sz w:val="24"/>
        </w:rPr>
        <w:t xml:space="preserve">. The noun</w:t>
      </w:r>
      <w:r>
        <w:rPr>
          <w:rFonts w:ascii="Times New Roman" w:hAnsi="Times New Roman"/>
          <w:sz w:val="24"/>
        </w:rPr>
        <w:t xml:space="preserve"> </w:t>
      </w:r>
      <w:r>
        <w:rPr>
          <w:rFonts w:ascii="Times New Roman" w:hAnsi="Times New Roman"/>
          <w:i/>
          <w:iCs/>
          <w:sz w:val="24"/>
        </w:rPr>
        <w:t xml:space="preserve">kingdom</w:t>
      </w:r>
      <w:r>
        <w:rPr>
          <w:rFonts w:ascii="Times New Roman" w:hAnsi="Times New Roman"/>
          <w:sz w:val="24"/>
        </w:rPr>
        <w:t xml:space="preserve"> </w:t>
      </w:r>
      <w:r>
        <w:rPr>
          <w:rFonts w:ascii="Times New Roman" w:hAnsi="Times New Roman"/>
          <w:sz w:val="24"/>
        </w:rPr>
        <w:t xml:space="preserve">is a common noun, but the NP</w:t>
      </w:r>
      <w:r>
        <w:rPr>
          <w:rFonts w:ascii="Times New Roman" w:hAnsi="Times New Roman"/>
          <w:sz w:val="24"/>
        </w:rPr>
        <w:t xml:space="preserve"> </w:t>
      </w:r>
      <w:r>
        <w:rPr>
          <w:rFonts w:ascii="Times New Roman" w:hAnsi="Times New Roman"/>
          <w:i/>
          <w:iCs/>
          <w:sz w:val="24"/>
        </w:rPr>
        <w:t xml:space="preserve">the United Kingdom</w:t>
      </w:r>
      <w:r>
        <w:rPr>
          <w:rFonts w:ascii="Times New Roman" w:hAnsi="Times New Roman"/>
          <w:sz w:val="24"/>
        </w:rPr>
        <w:t xml:space="preserve"> </w:t>
      </w:r>
      <w:r>
        <w:rPr>
          <w:rFonts w:ascii="Times New Roman" w:hAnsi="Times New Roman"/>
          <w:sz w:val="24"/>
        </w:rPr>
        <w:t xml:space="preserve">functions as a proper name: it refers to a unique political entity. The lexical category is common, the semantic function proper.</w:t>
      </w:r>
    </w:p>
    <w:p>
      <w:pPr>
        <w:pStyle w:val="BodyText"/>
        <w:spacing w:line="480" w:lineRule="auto"/>
        <w:ind w:firstLine="720"/>
      </w:pPr>
      <w:r>
        <w:rPr>
          <w:rFonts w:ascii="Times New Roman" w:hAnsi="Times New Roman"/>
          <w:i/>
          <w:iCs/>
          <w:sz w:val="24"/>
        </w:rPr>
        <w:t xml:space="preserve">CGEL</w:t>
      </w:r>
      <w:r>
        <w:rPr>
          <w:rFonts w:ascii="Times New Roman" w:hAnsi="Times New Roman"/>
          <w:sz w:val="24"/>
        </w:rPr>
        <w:t xml:space="preserve"> </w:t>
      </w:r>
      <w:r>
        <w:rPr>
          <w:rFonts w:ascii="Times New Roman" w:hAnsi="Times New Roman"/>
          <w:sz w:val="24"/>
        </w:rPr>
        <w:t xml:space="preserve">further distinguishes</w:t>
      </w:r>
      <w:r>
        <w:rPr>
          <w:rFonts w:ascii="Times New Roman" w:hAnsi="Times New Roman"/>
          <w:sz w:val="24"/>
        </w:rPr>
        <w:t xml:space="preserve"> </w:t>
      </w:r>
      <w:r>
        <w:rPr>
          <w:rFonts w:ascii="Times New Roman" w:hAnsi="Times New Roman"/>
          <w:smallCaps/>
          <w:sz w:val="24"/>
        </w:rPr>
        <w:t xml:space="preserve">strong proper names</w:t>
      </w:r>
      <w:r>
        <w:rPr>
          <w:rFonts w:ascii="Times New Roman" w:hAnsi="Times New Roman"/>
          <w:sz w:val="24"/>
        </w:rPr>
        <w:t xml:space="preserve">, those that appear without an article (</w:t>
      </w:r>
      <w:r>
        <w:rPr>
          <w:rFonts w:ascii="Times New Roman" w:hAnsi="Times New Roman"/>
          <w:i/>
          <w:iCs/>
          <w:sz w:val="24"/>
        </w:rPr>
        <w:t xml:space="preserve">Paris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from</w:t>
      </w:r>
      <w:r>
        <w:rPr>
          <w:rFonts w:ascii="Times New Roman" w:hAnsi="Times New Roman"/>
          <w:sz w:val="24"/>
        </w:rPr>
        <w:t xml:space="preserve"> </w:t>
      </w:r>
      <w:r>
        <w:rPr>
          <w:rFonts w:ascii="Times New Roman" w:hAnsi="Times New Roman"/>
          <w:smallCaps/>
          <w:sz w:val="24"/>
        </w:rPr>
        <w:t xml:space="preserve">weak proper names</w:t>
      </w:r>
      <w:r>
        <w:rPr>
          <w:rFonts w:ascii="Times New Roman" w:hAnsi="Times New Roman"/>
          <w:sz w:val="24"/>
        </w:rPr>
        <w:t xml:space="preserve">, those that require</w:t>
      </w:r>
      <w:r>
        <w:rPr>
          <w:rFonts w:ascii="Times New Roman" w:hAnsi="Times New Roman"/>
          <w:sz w:val="24"/>
        </w:rPr>
        <w:t xml:space="preserve"> </w:t>
      </w:r>
      <w:r>
        <w:rPr>
          <w:rFonts w:ascii="Times New Roman" w:hAnsi="Times New Roman"/>
          <w:i/>
          <w:iCs/>
          <w:sz w:val="24"/>
        </w:rPr>
        <w:t xml:space="preserve">the</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the Thames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the Hague</w:t>
      </w:r>
      <w:r>
        <w:rPr>
          <w:rFonts w:ascii="Times New Roman" w:hAnsi="Times New Roman"/>
          <w:sz w:val="24"/>
        </w:rPr>
        <w:t xml:space="preserve">). The terminology requires care:</w:t>
      </w:r>
      <w:r>
        <w:rPr>
          <w:rFonts w:ascii="Times New Roman" w:hAnsi="Times New Roman"/>
          <w:sz w:val="24"/>
        </w:rPr>
        <w:t xml:space="preserve"> </w:t>
      </w:r>
      <w:r>
        <w:rPr>
          <w:rFonts w:ascii="Times New Roman" w:hAnsi="Times New Roman"/>
          <w:smallCaps/>
          <w:sz w:val="24"/>
        </w:rPr>
        <w:t xml:space="preserve">proper name</w:t>
      </w:r>
      <w:r>
        <w:rPr>
          <w:rFonts w:ascii="Times New Roman" w:hAnsi="Times New Roman"/>
          <w:sz w:val="24"/>
        </w:rPr>
        <w:t xml:space="preserve"> </w:t>
      </w:r>
      <w:r>
        <w:rPr>
          <w:rFonts w:ascii="Times New Roman" w:hAnsi="Times New Roman"/>
          <w:sz w:val="24"/>
        </w:rPr>
        <w:t xml:space="preserve">is a semantic term, where</w:t>
      </w:r>
      <w:r>
        <w:rPr>
          <w:rFonts w:ascii="Times New Roman" w:hAnsi="Times New Roman"/>
          <w:sz w:val="24"/>
        </w:rPr>
        <w:t xml:space="preserve"> </w:t>
      </w:r>
      <w:r>
        <w:rPr>
          <w:rFonts w:ascii="Times New Roman" w:hAnsi="Times New Roman"/>
          <w:smallCaps/>
          <w:sz w:val="24"/>
        </w:rPr>
        <w:t xml:space="preserve">strong proper name</w:t>
      </w:r>
      <w:r>
        <w:rPr>
          <w:rFonts w:ascii="Times New Roman" w:hAnsi="Times New Roman"/>
          <w:sz w:val="24"/>
        </w:rPr>
        <w:t xml:space="preserve"> </w:t>
      </w:r>
      <w:r>
        <w:rPr>
          <w:rFonts w:ascii="Times New Roman" w:hAnsi="Times New Roman"/>
          <w:sz w:val="24"/>
        </w:rPr>
        <w:t xml:space="preserve">is a bit of a hybrid. A</w:t>
      </w:r>
      <w:r>
        <w:rPr>
          <w:rFonts w:ascii="Times New Roman" w:hAnsi="Times New Roman"/>
          <w:sz w:val="24"/>
        </w:rPr>
        <w:t xml:space="preserve"> </w:t>
      </w:r>
      <w:r>
        <w:rPr>
          <w:rFonts w:ascii="Times New Roman" w:hAnsi="Times New Roman"/>
          <w:smallCaps/>
          <w:sz w:val="24"/>
        </w:rPr>
        <w:t xml:space="preserve">strong proper name</w:t>
      </w:r>
      <w:r>
        <w:rPr>
          <w:rFonts w:ascii="Times New Roman" w:hAnsi="Times New Roman"/>
          <w:sz w:val="24"/>
        </w:rPr>
        <w:t xml:space="preserve"> </w:t>
      </w:r>
      <w:r>
        <w:rPr>
          <w:rFonts w:ascii="Times New Roman" w:hAnsi="Times New Roman"/>
          <w:sz w:val="24"/>
        </w:rPr>
        <w:t xml:space="preserve">is a bare NP (syntax) functioning as a proper name (semantics). It’s definite in reference (unique, identifiable) but appears bare, without the determiner that typically marks definiteness – and that is usually syntactically required in other contexts.</w:t>
      </w:r>
    </w:p>
    <w:p>
      <w:pPr>
        <w:pStyle w:val="BodyText"/>
        <w:spacing w:line="480" w:lineRule="auto"/>
        <w:ind w:firstLine="720"/>
      </w:pPr>
      <w:r>
        <w:rPr>
          <w:rFonts w:ascii="Times New Roman" w:hAnsi="Times New Roman"/>
          <w:sz w:val="24"/>
        </w:rPr>
        <w:t xml:space="preserve">English virtually prohibits bare singular count nouns in argument position. You can say</w:t>
      </w:r>
      <w:r>
        <w:rPr>
          <w:rFonts w:ascii="Times New Roman" w:hAnsi="Times New Roman"/>
          <w:sz w:val="24"/>
        </w:rPr>
        <w:t xml:space="preserve"> </w:t>
      </w:r>
      <w:r>
        <w:rPr>
          <w:rFonts w:ascii="Times New Roman" w:hAnsi="Times New Roman"/>
          <w:i/>
          <w:iCs/>
          <w:sz w:val="24"/>
        </w:rPr>
        <w:t xml:space="preserve">Dogs bark</w:t>
      </w:r>
      <w:r>
        <w:rPr>
          <w:rFonts w:ascii="Times New Roman" w:hAnsi="Times New Roman"/>
          <w:sz w:val="24"/>
        </w:rPr>
        <w:t xml:space="preserve"> </w:t>
      </w:r>
      <w:r>
        <w:rPr>
          <w:rFonts w:ascii="Times New Roman" w:hAnsi="Times New Roman"/>
          <w:sz w:val="24"/>
        </w:rPr>
        <w:t xml:space="preserve">(bare plural, generic) and</w:t>
      </w:r>
      <w:r>
        <w:rPr>
          <w:rFonts w:ascii="Times New Roman" w:hAnsi="Times New Roman"/>
          <w:sz w:val="24"/>
        </w:rPr>
        <w:t xml:space="preserve"> </w:t>
      </w:r>
      <w:r>
        <w:rPr>
          <w:rFonts w:ascii="Times New Roman" w:hAnsi="Times New Roman"/>
          <w:i/>
          <w:iCs/>
          <w:sz w:val="24"/>
        </w:rPr>
        <w:t xml:space="preserve">Water flows</w:t>
      </w:r>
      <w:r>
        <w:rPr>
          <w:rFonts w:ascii="Times New Roman" w:hAnsi="Times New Roman"/>
          <w:sz w:val="24"/>
        </w:rPr>
        <w:t xml:space="preserve"> </w:t>
      </w:r>
      <w:r>
        <w:rPr>
          <w:rFonts w:ascii="Times New Roman" w:hAnsi="Times New Roman"/>
          <w:sz w:val="24"/>
        </w:rPr>
        <w:t xml:space="preserve">(bare mass), but not *</w:t>
      </w:r>
      <w:r>
        <w:rPr>
          <w:rFonts w:ascii="Times New Roman" w:hAnsi="Times New Roman"/>
          <w:i/>
          <w:iCs/>
          <w:sz w:val="24"/>
        </w:rPr>
        <w:t xml:space="preserve">Dog barks</w:t>
      </w:r>
      <w:r>
        <w:rPr>
          <w:rFonts w:ascii="Times New Roman" w:hAnsi="Times New Roman"/>
          <w:sz w:val="24"/>
        </w:rPr>
        <w:t xml:space="preserve"> </w:t>
      </w:r>
      <w:r>
        <w:rPr>
          <w:rFonts w:ascii="Times New Roman" w:hAnsi="Times New Roman"/>
          <w:sz w:val="24"/>
        </w:rPr>
        <w:t xml:space="preserve">or *</w:t>
      </w:r>
      <w:r>
        <w:rPr>
          <w:rFonts w:ascii="Times New Roman" w:hAnsi="Times New Roman"/>
          <w:i/>
          <w:iCs/>
          <w:sz w:val="24"/>
        </w:rPr>
        <w:t xml:space="preserve">Table broke</w:t>
      </w:r>
      <w:r>
        <w:rPr>
          <w:rFonts w:ascii="Times New Roman" w:hAnsi="Times New Roman"/>
          <w:sz w:val="24"/>
        </w:rPr>
        <w:t xml:space="preserve">. Proper nouns resist determiners:</w:t>
      </w:r>
      <w:r>
        <w:rPr>
          <w:rFonts w:ascii="Times New Roman" w:hAnsi="Times New Roman"/>
          <w:sz w:val="24"/>
        </w:rPr>
        <w:t xml:space="preserve"> </w:t>
      </w:r>
      <w:r>
        <w:rPr>
          <w:rFonts w:ascii="Times New Roman" w:hAnsi="Times New Roman"/>
          <w:i/>
          <w:iCs/>
          <w:sz w:val="24"/>
        </w:rPr>
        <w:t xml:space="preserve">Paris is beautiful</w:t>
      </w:r>
      <w:r>
        <w:rPr>
          <w:rFonts w:ascii="Times New Roman" w:hAnsi="Times New Roman"/>
          <w:sz w:val="24"/>
        </w:rPr>
        <w:t xml:space="preserve">, not *</w:t>
      </w:r>
      <w:r>
        <w:rPr>
          <w:rFonts w:ascii="Times New Roman" w:hAnsi="Times New Roman"/>
          <w:i/>
          <w:iCs/>
          <w:sz w:val="24"/>
        </w:rPr>
        <w:t xml:space="preserve">The Paris is beautiful</w:t>
      </w:r>
      <w:r>
        <w:rPr>
          <w:rFonts w:ascii="Times New Roman" w:hAnsi="Times New Roman"/>
          <w:sz w:val="24"/>
        </w:rPr>
        <w:t xml:space="preserve">. Bare singulars in argument position are the province of proper nouns: forms that have escaped the determiner requirement because they function as strong proper names. Other bare singulars (</w:t>
      </w:r>
      <w:r>
        <w:rPr>
          <w:rFonts w:ascii="Times New Roman" w:hAnsi="Times New Roman"/>
          <w:i/>
          <w:iCs/>
          <w:sz w:val="24"/>
        </w:rPr>
        <w:t xml:space="preserve">at</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lunch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pet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shop</w:t>
      </w:r>
      <w:r>
        <w:rPr>
          <w:rFonts w:ascii="Times New Roman" w:hAnsi="Times New Roman"/>
          <w:sz w:val="24"/>
        </w:rPr>
        <w:t xml:space="preserve">) arise through different pathways and remain constructionally restricted.</w:t>
      </w:r>
    </w:p>
    <w:p>
      <w:pPr>
        <w:pStyle w:val="BodyText"/>
        <w:spacing w:line="480" w:lineRule="auto"/>
        <w:ind w:firstLine="720"/>
      </w:pPr>
      <w:r>
        <w:rPr>
          <w:rFonts w:ascii="Times New Roman" w:hAnsi="Times New Roman"/>
          <w:sz w:val="24"/>
        </w:rPr>
        <w:t xml:space="preserve">Kinship terms enter this picture precisely when they function as proper names. In</w:t>
      </w:r>
      <w:r>
        <w:rPr>
          <w:rFonts w:ascii="Times New Roman" w:hAnsi="Times New Roman"/>
          <w:sz w:val="24"/>
        </w:rPr>
        <w:t xml:space="preserve"> </w:t>
      </w:r>
      <w:r>
        <w:rPr>
          <w:rFonts w:ascii="Times New Roman" w:hAnsi="Times New Roman"/>
          <w:i/>
          <w:iCs/>
          <w:sz w:val="24"/>
        </w:rPr>
        <w:t xml:space="preserve">Mom called</w:t>
      </w:r>
      <w:r>
        <w:rPr>
          <w:rFonts w:ascii="Times New Roman" w:hAnsi="Times New Roman"/>
          <w:sz w:val="24"/>
        </w:rPr>
        <w:t xml:space="preserve">, the kinship term appears bare and supports family-domain identifiable reference – exactly like</w:t>
      </w:r>
      <w:r>
        <w:rPr>
          <w:rFonts w:ascii="Times New Roman" w:hAnsi="Times New Roman"/>
          <w:sz w:val="24"/>
        </w:rPr>
        <w:t xml:space="preserve"> </w:t>
      </w:r>
      <w:r>
        <w:rPr>
          <w:rFonts w:ascii="Times New Roman" w:hAnsi="Times New Roman"/>
          <w:i/>
          <w:iCs/>
          <w:sz w:val="24"/>
        </w:rPr>
        <w:t xml:space="preserve">John called</w:t>
      </w:r>
      <w:r>
        <w:rPr>
          <w:rFonts w:ascii="Times New Roman" w:hAnsi="Times New Roman"/>
          <w:sz w:val="24"/>
        </w:rPr>
        <w:t xml:space="preserve"> </w:t>
      </w:r>
      <w:r>
        <w:rPr>
          <w:rFonts w:ascii="Times New Roman" w:hAnsi="Times New Roman"/>
          <w:sz w:val="24"/>
        </w:rPr>
        <w:t xml:space="preserve">in a discourse where the intended</w:t>
      </w:r>
      <w:r>
        <w:rPr>
          <w:rFonts w:ascii="Times New Roman" w:hAnsi="Times New Roman"/>
          <w:sz w:val="24"/>
        </w:rPr>
        <w:t xml:space="preserve"> </w:t>
      </w:r>
      <w:r>
        <w:rPr>
          <w:rFonts w:ascii="Times New Roman" w:hAnsi="Times New Roman"/>
          <w:i/>
          <w:iCs/>
          <w:sz w:val="24"/>
        </w:rPr>
        <w:t xml:space="preserve">John</w:t>
      </w:r>
      <w:r>
        <w:rPr>
          <w:rFonts w:ascii="Times New Roman" w:hAnsi="Times New Roman"/>
          <w:sz w:val="24"/>
        </w:rPr>
        <w:t xml:space="preserve"> </w:t>
      </w:r>
      <w:r>
        <w:rPr>
          <w:rFonts w:ascii="Times New Roman" w:hAnsi="Times New Roman"/>
          <w:sz w:val="24"/>
        </w:rPr>
        <w:t xml:space="preserve">is identifiable. The determiner is absent not because grammar has made a special exception but because the usage instantiates the proper name construction: it establishes definite reference through naming rather than through an overt deital exponent.</w:t>
      </w:r>
    </w:p>
    <w:p>
      <w:pPr>
        <w:pStyle w:val="BodyText"/>
        <w:spacing w:line="480" w:lineRule="auto"/>
        <w:ind w:firstLine="720"/>
      </w:pPr>
      <w:r>
        <w:rPr>
          <w:rFonts w:ascii="Times New Roman" w:hAnsi="Times New Roman"/>
          <w:i/>
          <w:iCs/>
          <w:sz w:val="24"/>
        </w:rPr>
        <w:t xml:space="preserve">John called</w:t>
      </w:r>
      <w:r>
        <w:rPr>
          <w:rFonts w:ascii="Times New Roman" w:hAnsi="Times New Roman"/>
          <w:sz w:val="24"/>
        </w:rPr>
        <w:t xml:space="preserve"> </w:t>
      </w:r>
      <w:r>
        <w:rPr>
          <w:rFonts w:ascii="Times New Roman" w:hAnsi="Times New Roman"/>
          <w:sz w:val="24"/>
        </w:rPr>
        <w:t xml:space="preserve">is felicitous only when both parties know which John is meant; if two Johns are in play, disambiguation is called for (</w:t>
      </w:r>
      <w:r>
        <w:rPr>
          <w:rFonts w:ascii="Times New Roman" w:hAnsi="Times New Roman"/>
          <w:i/>
          <w:iCs/>
          <w:sz w:val="24"/>
        </w:rPr>
        <w:t xml:space="preserve">John from work</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John Smith</w:t>
      </w:r>
      <w:r>
        <w:rPr>
          <w:rFonts w:ascii="Times New Roman" w:hAnsi="Times New Roman"/>
          <w:sz w:val="24"/>
        </w:rPr>
        <w:t xml:space="preserve">). Similarly, bare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is the norm within the family, where uniqueness is guaranteed. Outside family discourse, where everyone has a mother,</w:t>
      </w:r>
      <w:r>
        <w:rPr>
          <w:rFonts w:ascii="Times New Roman" w:hAnsi="Times New Roman"/>
          <w:sz w:val="24"/>
        </w:rPr>
        <w:t xml:space="preserve"> </w:t>
      </w:r>
      <w:r>
        <w:rPr>
          <w:rFonts w:ascii="Times New Roman" w:hAnsi="Times New Roman"/>
          <w:i/>
          <w:iCs/>
          <w:sz w:val="24"/>
        </w:rPr>
        <w:t xml:space="preserve">my mom</w:t>
      </w:r>
      <w:r>
        <w:rPr>
          <w:rFonts w:ascii="Times New Roman" w:hAnsi="Times New Roman"/>
          <w:sz w:val="24"/>
        </w:rPr>
        <w:t xml:space="preserve"> </w:t>
      </w:r>
      <w:r>
        <w:rPr>
          <w:rFonts w:ascii="Times New Roman" w:hAnsi="Times New Roman"/>
          <w:sz w:val="24"/>
        </w:rPr>
        <w:t xml:space="preserve">restores the determiner.</w:t>
      </w:r>
      <w:r>
        <w:rPr>
          <w:rFonts w:ascii="Times New Roman" w:hAnsi="Times New Roman"/>
          <w:sz w:val="24"/>
        </w:rPr>
        <w:t xml:space="preserve"> </w:t>
      </w:r>
      <w:r>
        <w:rPr>
          <w:rFonts w:ascii="Times New Roman" w:hAnsi="Times New Roman"/>
          <w:sz w:val="24"/>
        </w:rPr>
        <w:t xml:space="preserve">Downing (1996)</w:t>
      </w:r>
      <w:r>
        <w:rPr>
          <w:rFonts w:ascii="Times New Roman" w:hAnsi="Times New Roman"/>
          <w:sz w:val="24"/>
        </w:rPr>
        <w:t xml:space="preserve"> </w:t>
      </w:r>
      <w:r>
        <w:rPr>
          <w:rFonts w:ascii="Times New Roman" w:hAnsi="Times New Roman"/>
          <w:sz w:val="24"/>
        </w:rPr>
        <w:t xml:space="preserve">documents this pattern in conversational data: within-family reference uses kinterm-based proper names (</w:t>
      </w:r>
      <w:r>
        <w:rPr>
          <w:rFonts w:ascii="Times New Roman" w:hAnsi="Times New Roman"/>
          <w:i/>
          <w:iCs/>
          <w:sz w:val="24"/>
        </w:rPr>
        <w:t xml:space="preserve">Mom called</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Gramma Peggy’s coming</w:t>
      </w:r>
      <w:r>
        <w:rPr>
          <w:rFonts w:ascii="Times New Roman" w:hAnsi="Times New Roman"/>
          <w:sz w:val="24"/>
        </w:rPr>
        <w:t xml:space="preserve">), while reference to the same individuals outside family circles shifts to anchored forms (</w:t>
      </w:r>
      <w:r>
        <w:rPr>
          <w:rFonts w:ascii="Times New Roman" w:hAnsi="Times New Roman"/>
          <w:i/>
          <w:iCs/>
          <w:sz w:val="24"/>
        </w:rPr>
        <w:t xml:space="preserve">my mother called</w:t>
      </w:r>
      <w:r>
        <w:rPr>
          <w:rFonts w:ascii="Times New Roman" w:hAnsi="Times New Roman"/>
          <w:sz w:val="24"/>
        </w:rPr>
        <w:t xml:space="preserve">).</w:t>
      </w:r>
    </w:p>
    <w:p>
      <w:pPr>
        <w:pStyle w:val="BodyText"/>
        <w:spacing w:line="480" w:lineRule="auto"/>
        <w:ind w:firstLine="720"/>
      </w:pPr>
      <w:r>
        <w:rPr>
          <w:rFonts w:ascii="Times New Roman" w:hAnsi="Times New Roman"/>
          <w:sz w:val="24"/>
        </w:rPr>
        <w:t xml:space="preserve">Bare kinship terms also pattern with proper names across the deitality cluster – the morphosyntactic properties that distinguish deital from non-deital definites. They resist existential pivots: *</w:t>
      </w:r>
      <w:r>
        <w:rPr>
          <w:rFonts w:ascii="Times New Roman" w:hAnsi="Times New Roman"/>
          <w:i/>
          <w:iCs/>
          <w:sz w:val="24"/>
        </w:rPr>
        <w:t xml:space="preserve">There’s Mom waiting outside</w:t>
      </w:r>
      <w:r>
        <w:rPr>
          <w:rFonts w:ascii="Times New Roman" w:hAnsi="Times New Roman"/>
          <w:sz w:val="24"/>
        </w:rPr>
        <w:t xml:space="preserve"> </w:t>
      </w:r>
      <w:r>
        <w:rPr>
          <w:rFonts w:ascii="Times New Roman" w:hAnsi="Times New Roman"/>
          <w:sz w:val="24"/>
        </w:rPr>
        <w:t xml:space="preserve">is odd, while adding a determiner rescues it (</w:t>
      </w:r>
      <w:r>
        <w:rPr>
          <w:rFonts w:ascii="Times New Roman" w:hAnsi="Times New Roman"/>
          <w:i/>
          <w:iCs/>
          <w:sz w:val="24"/>
        </w:rPr>
        <w:t xml:space="preserve">There’s my mom waiting outside</w:t>
      </w:r>
      <w:r>
        <w:rPr>
          <w:rFonts w:ascii="Times New Roman" w:hAnsi="Times New Roman"/>
          <w:sz w:val="24"/>
        </w:rPr>
        <w:t xml:space="preserve">), showing that the constraint targets the bare form; *</w:t>
      </w:r>
      <w:r>
        <w:rPr>
          <w:rFonts w:ascii="Times New Roman" w:hAnsi="Times New Roman"/>
          <w:i/>
          <w:iCs/>
          <w:sz w:val="24"/>
        </w:rPr>
        <w:t xml:space="preserve">There’s John waiting outside</w:t>
      </w:r>
      <w:r>
        <w:rPr>
          <w:rFonts w:ascii="Times New Roman" w:hAnsi="Times New Roman"/>
          <w:sz w:val="24"/>
        </w:rPr>
        <w:t xml:space="preserve"> </w:t>
      </w:r>
      <w:r>
        <w:rPr>
          <w:rFonts w:ascii="Times New Roman" w:hAnsi="Times New Roman"/>
          <w:sz w:val="24"/>
        </w:rPr>
        <w:t xml:space="preserve">is similarly degraded. They resist</w:t>
      </w:r>
      <w:r>
        <w:rPr>
          <w:rFonts w:ascii="Times New Roman" w:hAnsi="Times New Roman"/>
          <w:sz w:val="24"/>
        </w:rPr>
        <w:t xml:space="preserve"> </w:t>
      </w:r>
      <w:r>
        <w:rPr>
          <w:rFonts w:ascii="Times New Roman" w:hAnsi="Times New Roman"/>
          <w:i/>
          <w:iCs/>
          <w:sz w:val="24"/>
        </w:rPr>
        <w:t xml:space="preserve">one</w:t>
      </w:r>
      <w:r>
        <w:rPr>
          <w:rFonts w:ascii="Times New Roman" w:hAnsi="Times New Roman"/>
          <w:sz w:val="24"/>
        </w:rPr>
        <w:t xml:space="preserve">-substitution: ?</w:t>
      </w:r>
      <w:r>
        <w:rPr>
          <w:rFonts w:ascii="Times New Roman" w:hAnsi="Times New Roman"/>
          <w:i/>
          <w:iCs/>
          <w:sz w:val="24"/>
        </w:rPr>
        <w:t xml:space="preserve">I called Mom and you called one too</w:t>
      </w:r>
      <w:r>
        <w:rPr>
          <w:rFonts w:ascii="Times New Roman" w:hAnsi="Times New Roman"/>
          <w:sz w:val="24"/>
        </w:rPr>
        <w:t xml:space="preserve"> </w:t>
      </w:r>
      <w:r>
        <w:rPr>
          <w:rFonts w:ascii="Times New Roman" w:hAnsi="Times New Roman"/>
          <w:sz w:val="24"/>
        </w:rPr>
        <w:t xml:space="preserve">is degraded, parallel to ?</w:t>
      </w:r>
      <w:r>
        <w:rPr>
          <w:rFonts w:ascii="Times New Roman" w:hAnsi="Times New Roman"/>
          <w:i/>
          <w:iCs/>
          <w:sz w:val="24"/>
        </w:rPr>
        <w:t xml:space="preserve">I called John and you called one too</w:t>
      </w:r>
      <w:r>
        <w:rPr>
          <w:rFonts w:ascii="Times New Roman" w:hAnsi="Times New Roman"/>
          <w:sz w:val="24"/>
        </w:rPr>
        <w:t xml:space="preserve">, while common nouns permit it freely (</w:t>
      </w:r>
      <w:r>
        <w:rPr>
          <w:rFonts w:ascii="Times New Roman" w:hAnsi="Times New Roman"/>
          <w:i/>
          <w:iCs/>
          <w:sz w:val="24"/>
        </w:rPr>
        <w:t xml:space="preserve">I called a friend and you called one too</w:t>
      </w:r>
      <w:r>
        <w:rPr>
          <w:rFonts w:ascii="Times New Roman" w:hAnsi="Times New Roman"/>
          <w:sz w:val="24"/>
        </w:rPr>
        <w:t xml:space="preserve">). They resist attributive modification: *</w:t>
      </w:r>
      <w:r>
        <w:rPr>
          <w:rFonts w:ascii="Times New Roman" w:hAnsi="Times New Roman"/>
          <w:i/>
          <w:iCs/>
          <w:sz w:val="24"/>
        </w:rPr>
        <w:t xml:space="preserve">Tired Mom called</w:t>
      </w:r>
      <w:r>
        <w:rPr>
          <w:rFonts w:ascii="Times New Roman" w:hAnsi="Times New Roman"/>
          <w:sz w:val="24"/>
        </w:rPr>
        <w:t xml:space="preserve"> </w:t>
      </w:r>
      <w:r>
        <w:rPr>
          <w:rFonts w:ascii="Times New Roman" w:hAnsi="Times New Roman"/>
          <w:sz w:val="24"/>
        </w:rPr>
        <w:t xml:space="preserve">patterns with *</w:t>
      </w:r>
      <w:r>
        <w:rPr>
          <w:rFonts w:ascii="Times New Roman" w:hAnsi="Times New Roman"/>
          <w:i/>
          <w:iCs/>
          <w:sz w:val="24"/>
        </w:rPr>
        <w:t xml:space="preserve">Tired John called</w:t>
      </w:r>
      <w:r>
        <w:rPr>
          <w:rFonts w:ascii="Times New Roman" w:hAnsi="Times New Roman"/>
          <w:sz w:val="24"/>
        </w:rPr>
        <w:t xml:space="preserve">, though common-noun frames accept modifiers without difficulty (</w:t>
      </w:r>
      <w:r>
        <w:rPr>
          <w:rFonts w:ascii="Times New Roman" w:hAnsi="Times New Roman"/>
          <w:i/>
          <w:iCs/>
          <w:sz w:val="24"/>
        </w:rPr>
        <w:t xml:space="preserve">my tired mom</w:t>
      </w:r>
      <w:r>
        <w:rPr>
          <w:rFonts w:ascii="Times New Roman" w:hAnsi="Times New Roman"/>
          <w:sz w:val="24"/>
        </w:rPr>
        <w:t xml:space="preserve">). And they resist pluralization: *</w:t>
      </w:r>
      <w:r>
        <w:rPr>
          <w:rFonts w:ascii="Times New Roman" w:hAnsi="Times New Roman"/>
          <w:i/>
          <w:iCs/>
          <w:sz w:val="24"/>
        </w:rPr>
        <w:t xml:space="preserve">Moms called</w:t>
      </w:r>
      <w:r>
        <w:rPr>
          <w:rFonts w:ascii="Times New Roman" w:hAnsi="Times New Roman"/>
          <w:sz w:val="24"/>
        </w:rPr>
        <w:t xml:space="preserve"> </w:t>
      </w:r>
      <w:r>
        <w:rPr>
          <w:rFonts w:ascii="Times New Roman" w:hAnsi="Times New Roman"/>
          <w:sz w:val="24"/>
        </w:rPr>
        <w:t xml:space="preserve">is anomalous as a proper-noun plural, though</w:t>
      </w:r>
      <w:r>
        <w:rPr>
          <w:rFonts w:ascii="Times New Roman" w:hAnsi="Times New Roman"/>
          <w:sz w:val="24"/>
        </w:rPr>
        <w:t xml:space="preserve"> </w:t>
      </w:r>
      <w:r>
        <w:rPr>
          <w:rFonts w:ascii="Times New Roman" w:hAnsi="Times New Roman"/>
          <w:i/>
          <w:iCs/>
          <w:sz w:val="24"/>
        </w:rPr>
        <w:t xml:space="preserve">moms</w:t>
      </w:r>
      <w:r>
        <w:rPr>
          <w:rFonts w:ascii="Times New Roman" w:hAnsi="Times New Roman"/>
          <w:sz w:val="24"/>
        </w:rPr>
        <w:t xml:space="preserve"> </w:t>
      </w:r>
      <w:r>
        <w:rPr>
          <w:rFonts w:ascii="Times New Roman" w:hAnsi="Times New Roman"/>
          <w:sz w:val="24"/>
        </w:rPr>
        <w:t xml:space="preserve">is productive as a common noun (</w:t>
      </w:r>
      <w:r>
        <w:rPr>
          <w:rFonts w:ascii="Times New Roman" w:hAnsi="Times New Roman"/>
          <w:i/>
          <w:iCs/>
          <w:sz w:val="24"/>
        </w:rPr>
        <w:t xml:space="preserve">other moms at the school</w:t>
      </w:r>
      <w:r>
        <w:rPr>
          <w:rFonts w:ascii="Times New Roman" w:hAnsi="Times New Roman"/>
          <w:sz w:val="24"/>
        </w:rPr>
        <w:t xml:space="preserve">).</w:t>
      </w:r>
    </w:p>
    <w:p>
      <w:pPr>
        <w:pStyle w:val="BodyText"/>
        <w:spacing w:line="480" w:lineRule="auto"/>
        <w:ind w:firstLine="720"/>
      </w:pPr>
      <w:r>
        <w:rPr>
          <w:rFonts w:ascii="Times New Roman" w:hAnsi="Times New Roman"/>
          <w:sz w:val="24"/>
        </w:rPr>
        <w:t xml:space="preserve">The proper-noun and common-noun uses coexist productively. The common-noun entry (</w:t>
      </w:r>
      <w:r>
        <w:rPr>
          <w:rFonts w:ascii="Times New Roman" w:hAnsi="Times New Roman"/>
          <w:i/>
          <w:iCs/>
          <w:sz w:val="24"/>
        </w:rPr>
        <w:t xml:space="preserve">my mom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other moms</w:t>
      </w:r>
      <w:r>
        <w:rPr>
          <w:rFonts w:ascii="Times New Roman" w:hAnsi="Times New Roman"/>
          <w:sz w:val="24"/>
        </w:rPr>
        <w:t xml:space="preserve">) retains its full morphosyntactic range; the proper-noun use (</w:t>
      </w:r>
      <w:r>
        <w:rPr>
          <w:rFonts w:ascii="Times New Roman" w:hAnsi="Times New Roman"/>
          <w:i/>
          <w:iCs/>
          <w:sz w:val="24"/>
        </w:rPr>
        <w:t xml:space="preserve">Mom called</w:t>
      </w:r>
      <w:r>
        <w:rPr>
          <w:rFonts w:ascii="Times New Roman" w:hAnsi="Times New Roman"/>
          <w:sz w:val="24"/>
        </w:rPr>
        <w:t xml:space="preserve">) inherits the distributional restrictions of strong proper names. Kinship proper names are thus peripheral members of the deitality cluster – distributionally deital despite lacking the overt morphological exponent.</w:t>
      </w:r>
    </w:p>
    <w:p>
      <w:pPr>
        <w:pStyle w:val="BodyText"/>
        <w:spacing w:line="480" w:lineRule="auto"/>
        <w:ind w:firstLine="720"/>
      </w:pPr>
      <w:r>
        <w:rPr>
          <w:rFonts w:ascii="Times New Roman" w:hAnsi="Times New Roman"/>
          <w:sz w:val="24"/>
        </w:rPr>
        <w:t xml:space="preserve">Not all kinship terms behave alike.</w:t>
      </w:r>
      <w:r>
        <w:rPr>
          <w:rFonts w:ascii="Times New Roman" w:hAnsi="Times New Roman"/>
          <w:sz w:val="24"/>
        </w:rPr>
        <w:t xml:space="preserve"> </w:t>
      </w:r>
      <w:r>
        <w:rPr>
          <w:rFonts w:ascii="Times New Roman" w:hAnsi="Times New Roman"/>
          <w:i/>
          <w:iCs/>
          <w:sz w:val="24"/>
        </w:rPr>
        <w:t xml:space="preserve">CGEL</w:t>
      </w:r>
      <w:r>
        <w:rPr>
          <w:rFonts w:ascii="Times New Roman" w:hAnsi="Times New Roman"/>
          <w:sz w:val="24"/>
        </w:rPr>
        <w:t xml:space="preserve"> </w:t>
      </w:r>
      <w:r>
        <w:rPr>
          <w:rFonts w:ascii="Times New Roman" w:hAnsi="Times New Roman"/>
          <w:sz w:val="24"/>
        </w:rPr>
        <w:t xml:space="preserve">notes this explicitly in its discussion of vocatives (Section 5.20.5):</w:t>
      </w:r>
      <w:r>
        <w:rPr>
          <w:rFonts w:ascii="Times New Roman" w:hAnsi="Times New Roman"/>
          <w:sz w:val="24"/>
        </w:rPr>
        <w:t xml:space="preserve"> </w:t>
      </w:r>
      <w:r>
        <w:rPr>
          <w:rFonts w:ascii="Times New Roman" w:hAnsi="Times New Roman"/>
          <w:sz w:val="24"/>
        </w:rPr>
        <w:t xml:space="preserve">“the kin terms include those that can be used with the status of proper names”</w:t>
      </w:r>
      <w:r>
        <w:rPr>
          <w:rFonts w:ascii="Times New Roman" w:hAnsi="Times New Roman"/>
          <w:sz w:val="24"/>
        </w:rPr>
        <w:t xml:space="preserve">, but the category is graded.</w:t>
      </w:r>
    </w:p>
    <w:tbl>
      <w:tblPr>
        <w:tblStyle w:val="Table"/>
        <w:tblW w:type="auto" w:w="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7776"/>
      </w:tblGrid>
      <w:tr>
        <w:tc>
          <w:tcPr/>
          <w:p>
            <w:pPr>
              <w:pStyle w:val="Compact"/>
              <w:spacing w:line="480" w:lineRule="auto"/>
              <w:jc w:val="left"/>
            </w:pPr>
            <w:r>
              <w:rPr>
                <w:rFonts w:ascii="Times New Roman" w:hAnsi="Times New Roman"/>
                <w:sz w:val="24"/>
              </w:rPr>
              <w:t xml:space="preserve">(3)</w:t>
            </w:r>
          </w:p>
        </w:tc>
        <w:tc>
          <w:tcPr/>
          <w:p>
            <w:pPr>
              <w:pStyle w:val="Compact"/>
              <w:spacing w:line="480" w:lineRule="auto"/>
              <w:jc w:val="left"/>
            </w:pPr>
            <w:r>
              <w:rPr>
                <w:rFonts w:ascii="Times New Roman" w:hAnsi="Times New Roman"/>
                <w:sz w:val="24"/>
              </w:rPr>
              <w:t xml:space="preserve">a. Fully licensed:</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Grandma</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Grandpa</w:t>
            </w:r>
          </w:p>
        </w:tc>
      </w:tr>
      <w:tr>
        <w:tc>
          <w:tcPr/>
          <w:p>
            <w:pPr>
              <w:pStyle w:val="Compact"/>
              <w:spacing w:line="480" w:lineRule="auto"/>
            </w:pPr>
          </w:p>
        </w:tc>
        <w:tc>
          <w:tcPr/>
          <w:p>
            <w:pPr>
              <w:pStyle w:val="Compact"/>
              <w:spacing w:line="480" w:lineRule="auto"/>
              <w:jc w:val="left"/>
            </w:pPr>
            <w:r>
              <w:rPr>
                <w:rFonts w:ascii="Times New Roman" w:hAnsi="Times New Roman"/>
                <w:sz w:val="24"/>
              </w:rPr>
              <w:t xml:space="preserve">b. (?) Marginal:</w:t>
            </w:r>
            <w:r>
              <w:rPr>
                <w:rFonts w:ascii="Times New Roman" w:hAnsi="Times New Roman"/>
                <w:sz w:val="24"/>
              </w:rPr>
              <w:t xml:space="preserve"> </w:t>
            </w:r>
            <w:r>
              <w:rPr>
                <w:rFonts w:ascii="Times New Roman" w:hAnsi="Times New Roman"/>
                <w:i/>
                <w:iCs/>
                <w:sz w:val="24"/>
              </w:rPr>
              <w:t xml:space="preserve">Auntie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Uncle</w:t>
            </w:r>
          </w:p>
        </w:tc>
      </w:tr>
      <w:tr>
        <w:tc>
          <w:tcPr/>
          <w:p>
            <w:pPr>
              <w:pStyle w:val="Compact"/>
              <w:spacing w:line="480" w:lineRule="auto"/>
            </w:pPr>
          </w:p>
        </w:tc>
        <w:tc>
          <w:tcPr/>
          <w:p>
            <w:pPr>
              <w:pStyle w:val="Compact"/>
              <w:spacing w:line="480" w:lineRule="auto"/>
              <w:jc w:val="left"/>
            </w:pPr>
            <w:r>
              <w:rPr>
                <w:rFonts w:ascii="Times New Roman" w:hAnsi="Times New Roman"/>
                <w:sz w:val="24"/>
              </w:rPr>
              <w:t xml:space="preserve">c. (*) Unlicensed:</w:t>
            </w:r>
            <w:r>
              <w:rPr>
                <w:rFonts w:ascii="Times New Roman" w:hAnsi="Times New Roman"/>
                <w:sz w:val="24"/>
              </w:rPr>
              <w:t xml:space="preserve"> </w:t>
            </w:r>
            <w:r>
              <w:rPr>
                <w:rFonts w:ascii="Times New Roman" w:hAnsi="Times New Roman"/>
                <w:i/>
                <w:iCs/>
                <w:sz w:val="24"/>
              </w:rPr>
              <w:t xml:space="preserve">Brother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Sister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Aunt</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Cousin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Nephew</w:t>
            </w:r>
          </w:p>
        </w:tc>
      </w:tr>
    </w:tbl>
    <w:p>
      <w:pPr>
        <w:pStyle w:val="BodyText"/>
        <w:spacing w:line="480" w:lineRule="auto"/>
        <w:ind w:firstLine="720"/>
      </w:pPr>
      <w:r>
        <w:rPr>
          <w:rFonts w:ascii="Times New Roman" w:hAnsi="Times New Roman"/>
          <w:sz w:val="24"/>
        </w:rPr>
        <w:t xml:space="preserve">The gradient is in proper-noun entrenchment – how far each form has acquired bare-argument distribution – not in naming function. The hierarchy doesn’t track raw contact frequency – children interact with siblings constantly. It tracks</w:t>
      </w:r>
      <w:r>
        <w:rPr>
          <w:rFonts w:ascii="Times New Roman" w:hAnsi="Times New Roman"/>
          <w:sz w:val="24"/>
        </w:rPr>
        <w:t xml:space="preserve"> </w:t>
      </w:r>
      <w:r>
        <w:rPr>
          <w:rFonts w:ascii="Times New Roman" w:hAnsi="Times New Roman"/>
          <w:i/>
          <w:iCs/>
          <w:sz w:val="24"/>
        </w:rPr>
        <w:t xml:space="preserve">taboo-driven</w:t>
      </w:r>
      <w:r>
        <w:rPr>
          <w:rFonts w:ascii="Times New Roman" w:hAnsi="Times New Roman"/>
          <w:sz w:val="24"/>
        </w:rPr>
        <w:t xml:space="preserve"> </w:t>
      </w:r>
      <w:r>
        <w:rPr>
          <w:rFonts w:ascii="Times New Roman" w:hAnsi="Times New Roman"/>
          <w:sz w:val="24"/>
        </w:rPr>
        <w:t xml:space="preserve">frequency: the rate at which social prohibition forces the kinship term into name-position. For parents and grandparents, the naming taboo blocks first-name use; the kinship term is the only option. For siblings, cousins, and aunts/uncles, first names are available, so the kinship term competes and loses frequency in name-position.</w:t>
      </w:r>
    </w:p>
    <w:p>
      <w:pPr>
        <w:pStyle w:val="BodyText"/>
        <w:spacing w:line="480" w:lineRule="auto"/>
        <w:ind w:firstLine="720"/>
      </w:pPr>
      <w:r>
        <w:rPr>
          <w:rFonts w:ascii="Times New Roman" w:hAnsi="Times New Roman"/>
          <w:i/>
          <w:iCs/>
          <w:sz w:val="24"/>
        </w:rPr>
        <w:t xml:space="preserve">Auntie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Uncle</w:t>
      </w:r>
      <w:r>
        <w:rPr>
          <w:rFonts w:ascii="Times New Roman" w:hAnsi="Times New Roman"/>
          <w:sz w:val="24"/>
        </w:rPr>
        <w:t xml:space="preserve"> </w:t>
      </w:r>
      <w:r>
        <w:rPr>
          <w:rFonts w:ascii="Times New Roman" w:hAnsi="Times New Roman"/>
          <w:sz w:val="24"/>
        </w:rPr>
        <w:t xml:space="preserve">occupy an intermediate position. Unlike most English honorifics, which combine with surnames (</w:t>
      </w:r>
      <w:r>
        <w:rPr>
          <w:rFonts w:ascii="Times New Roman" w:hAnsi="Times New Roman"/>
          <w:i/>
          <w:iCs/>
          <w:sz w:val="24"/>
        </w:rPr>
        <w:t xml:space="preserve">Dr. Smith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Mr. Jones</w:t>
      </w:r>
      <w:r>
        <w:rPr>
          <w:rFonts w:ascii="Times New Roman" w:hAnsi="Times New Roman"/>
          <w:sz w:val="24"/>
        </w:rPr>
        <w:t xml:space="preserve">), these combine with first names (</w:t>
      </w:r>
      <w:r>
        <w:rPr>
          <w:rFonts w:ascii="Times New Roman" w:hAnsi="Times New Roman"/>
          <w:i/>
          <w:iCs/>
          <w:sz w:val="24"/>
        </w:rPr>
        <w:t xml:space="preserve">Auntie Sarah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Uncle John</w:t>
      </w:r>
      <w:r>
        <w:rPr>
          <w:rFonts w:ascii="Times New Roman" w:hAnsi="Times New Roman"/>
          <w:sz w:val="24"/>
        </w:rPr>
        <w:t xml:space="preserve">). This quasi-titular use gives them name-position exposure that siblings lack: bare usage (</w:t>
      </w:r>
      <w:r>
        <w:rPr>
          <w:rFonts w:ascii="Times New Roman" w:hAnsi="Times New Roman"/>
          <w:i/>
          <w:iCs/>
          <w:sz w:val="24"/>
        </w:rPr>
        <w:t xml:space="preserve">Auntie</w:t>
      </w:r>
      <w:r>
        <w:rPr>
          <w:rFonts w:ascii="Times New Roman" w:hAnsi="Times New Roman"/>
          <w:sz w:val="24"/>
        </w:rPr>
        <w:t xml:space="preserve">) can be analyzed as an ellipsis of the full title-plus-name construction (</w:t>
      </w:r>
      <w:r>
        <w:rPr>
          <w:rFonts w:ascii="Times New Roman" w:hAnsi="Times New Roman"/>
          <w:i/>
          <w:iCs/>
          <w:sz w:val="24"/>
        </w:rPr>
        <w:t xml:space="preserve">Auntie</w:t>
      </w:r>
      <w:r>
        <w:rPr>
          <w:rFonts w:ascii="Times New Roman" w:hAnsi="Times New Roman"/>
          <w:i/>
          <w:iCs/>
          <w:sz w:val="24"/>
        </w:rPr>
        <w:t xml:space="preserve"> </w:t>
      </w:r>
      <w:r>
        <w:rPr>
          <w:rFonts w:ascii="Times New Roman" w:hAnsi="Times New Roman"/>
          <w:i/>
          <w:iCs/>
          <w:sz w:val="24"/>
        </w:rPr>
        <w:t xml:space="preserve">[</w:t>
      </w:r>
      <w:r>
        <w:rPr>
          <w:rFonts w:ascii="Times New Roman" w:hAnsi="Times New Roman"/>
          <w:i/>
          <w:iCs/>
          <w:sz w:val="24"/>
        </w:rPr>
        <w:t xml:space="preserve">Sarah</w:t>
      </w:r>
      <w:r>
        <w:rPr>
          <w:rFonts w:ascii="Times New Roman" w:hAnsi="Times New Roman"/>
          <w:i/>
          <w:iCs/>
          <w:sz w:val="24"/>
        </w:rPr>
        <w:t xml:space="preserve">]</w:t>
      </w:r>
      <w:r>
        <w:rPr>
          <w:rFonts w:ascii="Times New Roman" w:hAnsi="Times New Roman"/>
          <w:sz w:val="24"/>
        </w:rPr>
        <w:t xml:space="preserve">), providing a bridge for proper-noun syntax. In the CHILDES data examined below, both</w:t>
      </w:r>
      <w:r>
        <w:rPr>
          <w:rFonts w:ascii="Times New Roman" w:hAnsi="Times New Roman"/>
          <w:sz w:val="24"/>
        </w:rPr>
        <w:t xml:space="preserve"> </w:t>
      </w:r>
      <w:r>
        <w:rPr>
          <w:rFonts w:ascii="Times New Roman" w:hAnsi="Times New Roman"/>
          <w:i/>
          <w:iCs/>
          <w:sz w:val="24"/>
        </w:rPr>
        <w:t xml:space="preserve">Auntie</w:t>
      </w:r>
      <w:r>
        <w:rPr>
          <w:rFonts w:ascii="Times New Roman" w:hAnsi="Times New Roman"/>
          <w:sz w:val="24"/>
        </w:rPr>
        <w:t xml:space="preserve"> </w:t>
      </w:r>
      <w:r>
        <w:rPr>
          <w:rFonts w:ascii="Times New Roman" w:hAnsi="Times New Roman"/>
          <w:sz w:val="24"/>
        </w:rPr>
        <w:t xml:space="preserve">and the formal variant</w:t>
      </w:r>
      <w:r>
        <w:rPr>
          <w:rFonts w:ascii="Times New Roman" w:hAnsi="Times New Roman"/>
          <w:sz w:val="24"/>
        </w:rPr>
        <w:t xml:space="preserve"> </w:t>
      </w:r>
      <w:r>
        <w:rPr>
          <w:rFonts w:ascii="Times New Roman" w:hAnsi="Times New Roman"/>
          <w:i/>
          <w:iCs/>
          <w:sz w:val="24"/>
        </w:rPr>
        <w:t xml:space="preserve">Aunt</w:t>
      </w:r>
      <w:r>
        <w:rPr>
          <w:rFonts w:ascii="Times New Roman" w:hAnsi="Times New Roman"/>
          <w:sz w:val="24"/>
        </w:rPr>
        <w:t xml:space="preserve"> </w:t>
      </w:r>
      <w:r>
        <w:rPr>
          <w:rFonts w:ascii="Times New Roman" w:hAnsi="Times New Roman"/>
          <w:sz w:val="24"/>
        </w:rPr>
        <w:t xml:space="preserve">show substantial bare-argument use ( 48%), suggesting that for many speakers (or at least in child-directed speech), both forms have acquired some degree of proper-name status, likely reinforced by the title+name pattern.</w:t>
      </w:r>
      <w:r>
        <w:rPr>
          <w:rFonts w:ascii="Times New Roman" w:hAnsi="Times New Roman"/>
          <w:sz w:val="24"/>
        </w:rPr>
        <w:t xml:space="preserve"> </w:t>
      </w:r>
      <w:r>
        <w:rPr>
          <w:rFonts w:ascii="Times New Roman" w:hAnsi="Times New Roman"/>
          <w:i/>
          <w:iCs/>
          <w:sz w:val="24"/>
        </w:rPr>
        <w:t xml:space="preserve">Brother</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Sister</w:t>
      </w:r>
      <w:r>
        <w:rPr>
          <w:rFonts w:ascii="Times New Roman" w:hAnsi="Times New Roman"/>
          <w:sz w:val="24"/>
        </w:rPr>
        <w:t xml:space="preserve"> </w:t>
      </w:r>
      <w:r>
        <w:rPr>
          <w:rFonts w:ascii="Times New Roman" w:hAnsi="Times New Roman"/>
          <w:sz w:val="24"/>
        </w:rPr>
        <w:t xml:space="preserve">are unlicensed in ordinary family discourse but can function as titles in religious contexts (</w:t>
      </w:r>
      <w:r>
        <w:rPr>
          <w:rFonts w:ascii="Times New Roman" w:hAnsi="Times New Roman"/>
          <w:i/>
          <w:iCs/>
          <w:sz w:val="24"/>
        </w:rPr>
        <w:t xml:space="preserve">Brother John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Sister Mary</w:t>
      </w:r>
      <w:r>
        <w:rPr>
          <w:rFonts w:ascii="Times New Roman" w:hAnsi="Times New Roman"/>
          <w:sz w:val="24"/>
        </w:rPr>
        <w:t xml:space="preserve">). In Quaker communities, for instance, bare</w:t>
      </w:r>
      <w:r>
        <w:rPr>
          <w:rFonts w:ascii="Times New Roman" w:hAnsi="Times New Roman"/>
          <w:sz w:val="24"/>
        </w:rPr>
        <w:t xml:space="preserve"> </w:t>
      </w:r>
      <w:r>
        <w:rPr>
          <w:rFonts w:ascii="Times New Roman" w:hAnsi="Times New Roman"/>
          <w:i/>
          <w:iCs/>
          <w:sz w:val="24"/>
        </w:rPr>
        <w:t xml:space="preserve">Sister</w:t>
      </w:r>
      <w:r>
        <w:rPr>
          <w:rFonts w:ascii="Times New Roman" w:hAnsi="Times New Roman"/>
          <w:sz w:val="24"/>
        </w:rPr>
        <w:t xml:space="preserve"> </w:t>
      </w:r>
      <w:r>
        <w:rPr>
          <w:rFonts w:ascii="Times New Roman" w:hAnsi="Times New Roman"/>
          <w:sz w:val="24"/>
        </w:rPr>
        <w:t xml:space="preserve">appears in subject position:</w:t>
      </w:r>
      <w:r>
        <w:rPr>
          <w:rFonts w:ascii="Times New Roman" w:hAnsi="Times New Roman"/>
          <w:sz w:val="24"/>
        </w:rPr>
        <w:t xml:space="preserve"> </w:t>
      </w:r>
      <w:r>
        <w:rPr>
          <w:rFonts w:ascii="Times New Roman" w:hAnsi="Times New Roman"/>
          <w:sz w:val="24"/>
        </w:rPr>
        <w:t xml:space="preserve">“Sister said we could make no such engagements”</w:t>
      </w:r>
      <w:r>
        <w:rPr>
          <w:rFonts w:ascii="Times New Roman" w:hAnsi="Times New Roman"/>
          <w:sz w:val="24"/>
        </w:rPr>
        <w:t xml:space="preserve"> </w:t>
      </w:r>
      <w:r>
        <w:rPr>
          <w:rFonts w:ascii="Times New Roman" w:hAnsi="Times New Roman"/>
          <w:sz w:val="24"/>
        </w:rPr>
        <w:t xml:space="preserve">(qtd. in Hodgkin 1927)</w:t>
      </w:r>
      <w:r>
        <w:rPr>
          <w:rFonts w:ascii="Times New Roman" w:hAnsi="Times New Roman"/>
          <w:sz w:val="24"/>
        </w:rPr>
        <w:t xml:space="preserve">. The mechanism generalizes beyond nuclear-family kinship.</w:t>
      </w:r>
    </w:p>
    <w:p>
      <w:pPr>
        <w:pStyle w:val="BodyText"/>
        <w:spacing w:line="480" w:lineRule="auto"/>
        <w:ind w:firstLine="720"/>
      </w:pPr>
      <w:r>
        <w:rPr>
          <w:rFonts w:ascii="Times New Roman" w:hAnsi="Times New Roman"/>
          <w:i/>
          <w:iCs/>
          <w:sz w:val="24"/>
        </w:rPr>
        <w:t xml:space="preserve">CGEL</w:t>
      </w:r>
      <w:r>
        <w:rPr>
          <w:rFonts w:ascii="Times New Roman" w:hAnsi="Times New Roman"/>
          <w:sz w:val="24"/>
        </w:rPr>
        <w:t xml:space="preserve"> </w:t>
      </w:r>
      <w:r>
        <w:rPr>
          <w:rFonts w:ascii="Times New Roman" w:hAnsi="Times New Roman"/>
          <w:sz w:val="24"/>
        </w:rPr>
        <w:t xml:space="preserve">treats</w:t>
      </w:r>
      <w:r>
        <w:rPr>
          <w:rFonts w:ascii="Times New Roman" w:hAnsi="Times New Roman"/>
          <w:sz w:val="24"/>
        </w:rPr>
        <w:t xml:space="preserve"> </w:t>
      </w:r>
      <w:r>
        <w:rPr>
          <w:rFonts w:ascii="Times New Roman" w:hAnsi="Times New Roman"/>
          <w:smallCaps/>
          <w:sz w:val="24"/>
        </w:rPr>
        <w:t xml:space="preserve">vocative</w:t>
      </w:r>
      <w:r>
        <w:rPr>
          <w:rFonts w:ascii="Times New Roman" w:hAnsi="Times New Roman"/>
          <w:sz w:val="24"/>
        </w:rPr>
        <w:t xml:space="preserve"> </w:t>
      </w:r>
      <w:r>
        <w:rPr>
          <w:rFonts w:ascii="Times New Roman" w:hAnsi="Times New Roman"/>
          <w:sz w:val="24"/>
        </w:rPr>
        <w:t xml:space="preserve">as a syntactic function, not a case (Section 5.20.5). Vocative NPs aren’t dependents in any VP; they can stand alone without ellipsis and are best regarded as</w:t>
      </w:r>
      <w:r>
        <w:rPr>
          <w:rFonts w:ascii="Times New Roman" w:hAnsi="Times New Roman"/>
          <w:sz w:val="24"/>
        </w:rPr>
        <w:t xml:space="preserve"> </w:t>
      </w:r>
      <w:r>
        <w:rPr>
          <w:rFonts w:ascii="Times New Roman" w:hAnsi="Times New Roman"/>
          <w:sz w:val="24"/>
        </w:rPr>
        <w:t xml:space="preserve">“a kind of interpolation – one that can appear, like certain adjuncts, in front, central, or end position”</w:t>
      </w:r>
      <w:r>
        <w:rPr>
          <w:rFonts w:ascii="Times New Roman" w:hAnsi="Times New Roman"/>
          <w:sz w:val="24"/>
        </w:rPr>
        <w:t xml:space="preserve"> </w:t>
      </w:r>
      <w:r>
        <w:rPr>
          <w:rFonts w:ascii="Times New Roman" w:hAnsi="Times New Roman"/>
          <w:sz w:val="24"/>
        </w:rPr>
        <w:t xml:space="preserve">(Huddleston &amp; Pullum 2002: 523)</w:t>
      </w:r>
      <w:r>
        <w:rPr>
          <w:rFonts w:ascii="Times New Roman" w:hAnsi="Times New Roman"/>
          <w:sz w:val="24"/>
        </w:rPr>
        <w:t xml:space="preserve">. Vocatives show distinctive determiner restrictions: they permit 1st- and 2nd-person pronoun genitives (</w:t>
      </w:r>
      <w:r>
        <w:rPr>
          <w:rFonts w:ascii="Times New Roman" w:hAnsi="Times New Roman"/>
          <w:i/>
          <w:iCs/>
          <w:sz w:val="24"/>
        </w:rPr>
        <w:t xml:space="preserve">My friend!</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Your majesty!</w:t>
      </w:r>
      <w:r>
        <w:rPr>
          <w:rFonts w:ascii="Times New Roman" w:hAnsi="Times New Roman"/>
          <w:sz w:val="24"/>
        </w:rPr>
        <w:t xml:space="preserve">) and the 2nd-person determinative (</w:t>
      </w:r>
      <w:r>
        <w:rPr>
          <w:rFonts w:ascii="Times New Roman" w:hAnsi="Times New Roman"/>
          <w:i/>
          <w:iCs/>
          <w:sz w:val="24"/>
        </w:rPr>
        <w:t xml:space="preserve">You idiot!</w:t>
      </w:r>
      <w:r>
        <w:rPr>
          <w:rFonts w:ascii="Times New Roman" w:hAnsi="Times New Roman"/>
          <w:sz w:val="24"/>
        </w:rPr>
        <w:t xml:space="preserve">), but exclude 3rd-person pronouns, common-noun genitives, and most other determinatives – hence *</w:t>
      </w:r>
      <w:r>
        <w:rPr>
          <w:rFonts w:ascii="Times New Roman" w:hAnsi="Times New Roman"/>
          <w:i/>
          <w:iCs/>
          <w:sz w:val="24"/>
        </w:rPr>
        <w:t xml:space="preserve">The waiter!</w:t>
      </w:r>
      <w:r>
        <w:rPr>
          <w:rFonts w:ascii="Times New Roman" w:hAnsi="Times New Roman"/>
          <w:sz w:val="24"/>
        </w:rPr>
        <w:t xml:space="preserve">, *</w:t>
      </w:r>
      <w:r>
        <w:rPr>
          <w:rFonts w:ascii="Times New Roman" w:hAnsi="Times New Roman"/>
          <w:i/>
          <w:iCs/>
          <w:sz w:val="24"/>
        </w:rPr>
        <w:t xml:space="preserve">That friend!</w:t>
      </w:r>
      <w:r>
        <w:rPr>
          <w:rFonts w:ascii="Times New Roman" w:hAnsi="Times New Roman"/>
          <w:sz w:val="24"/>
        </w:rPr>
        <w:t xml:space="preserve">. For kinship terms, bare use is standard. What’s distinctive about kinship terms is that they pattern with personal names in this function:</w:t>
      </w:r>
      <w:r>
        <w:rPr>
          <w:rFonts w:ascii="Times New Roman" w:hAnsi="Times New Roman"/>
          <w:sz w:val="24"/>
        </w:rPr>
        <w:t xml:space="preserve"> </w:t>
      </w:r>
      <w:r>
        <w:rPr>
          <w:rFonts w:ascii="Times New Roman" w:hAnsi="Times New Roman"/>
          <w:i/>
          <w:iCs/>
          <w:sz w:val="24"/>
        </w:rPr>
        <w:t xml:space="preserve">Mom, come here</w:t>
      </w:r>
      <w:r>
        <w:rPr>
          <w:rFonts w:ascii="Times New Roman" w:hAnsi="Times New Roman"/>
          <w:sz w:val="24"/>
        </w:rPr>
        <w:t xml:space="preserve"> </w:t>
      </w:r>
      <w:r>
        <w:rPr>
          <w:rFonts w:ascii="Times New Roman" w:hAnsi="Times New Roman"/>
          <w:sz w:val="24"/>
        </w:rPr>
        <w:t xml:space="preserve">parallels</w:t>
      </w:r>
      <w:r>
        <w:rPr>
          <w:rFonts w:ascii="Times New Roman" w:hAnsi="Times New Roman"/>
          <w:sz w:val="24"/>
        </w:rPr>
        <w:t xml:space="preserve"> </w:t>
      </w:r>
      <w:r>
        <w:rPr>
          <w:rFonts w:ascii="Times New Roman" w:hAnsi="Times New Roman"/>
          <w:i/>
          <w:iCs/>
          <w:sz w:val="24"/>
        </w:rPr>
        <w:t xml:space="preserve">Sarah, come here</w:t>
      </w:r>
      <w:r>
        <w:rPr>
          <w:rFonts w:ascii="Times New Roman" w:hAnsi="Times New Roman"/>
          <w:sz w:val="24"/>
        </w:rPr>
        <w:t xml:space="preserve">. Both are direct address forms; both trigger the same intonational contour; both resist modification in the same ways.</w:t>
      </w:r>
    </w:p>
    <w:p>
      <w:pPr>
        <w:pStyle w:val="BodyText"/>
        <w:spacing w:line="480" w:lineRule="auto"/>
        <w:ind w:firstLine="720"/>
      </w:pPr>
      <w:r>
        <w:rPr>
          <w:rFonts w:ascii="Times New Roman" w:hAnsi="Times New Roman"/>
          <w:sz w:val="24"/>
        </w:rPr>
        <w:t xml:space="preserve">Hill (2022)</w:t>
      </w:r>
      <w:r>
        <w:rPr>
          <w:rFonts w:ascii="Times New Roman" w:hAnsi="Times New Roman"/>
          <w:sz w:val="24"/>
        </w:rPr>
        <w:t xml:space="preserve"> </w:t>
      </w:r>
      <w:r>
        <w:rPr>
          <w:rFonts w:ascii="Times New Roman" w:hAnsi="Times New Roman"/>
          <w:sz w:val="24"/>
        </w:rPr>
        <w:t xml:space="preserve">argues that vocative phrases occupy dedicated syntactic positions that select for proper-noun-like properties – the vocative slot is a grammaticalization highway. This matters for the causal story. If the naming taboo channels kinship terms into vocative function, and vocative function selects for proper-noun-like properties, then the taboo creates the grammaticalization pressure. The syntax follows from the usage pattern.</w:t>
      </w:r>
    </w:p>
    <w:bookmarkEnd w:id="20"/>
    <w:bookmarkStart w:id="37" w:name="sec:mechanism"/>
    <w:p>
      <w:pPr>
        <w:pStyle w:val="Heading1"/>
        <w:spacing w:line="480" w:lineRule="auto"/>
      </w:pPr>
      <w:r>
        <w:rPr>
          <w:rFonts w:ascii="Times New Roman" w:hAnsi="Times New Roman"/>
        </w:rPr>
        <w:t xml:space="preserve">From taboo to syntax</w:t>
      </w:r>
    </w:p>
    <w:p>
      <w:pPr>
        <w:pStyle w:val="FirstParagraph"/>
        <w:spacing w:line="480" w:lineRule="auto"/>
      </w:pPr>
      <w:r>
        <w:rPr>
          <w:rFonts w:ascii="Times New Roman" w:hAnsi="Times New Roman"/>
          <w:sz w:val="24"/>
        </w:rPr>
        <w:t xml:space="preserve">The previous sections have established two facts and the analytical apparatus for connecting them. The sociolinguistic fact: children can’t use parents’ first names. The syntactic fact: kinship terms like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exhibit strong proper-noun distribution. This section presents the mechanism that links them.</w:t>
      </w:r>
    </w:p>
    <w:p>
      <w:pPr>
        <w:pStyle w:val="BodyText"/>
        <w:spacing w:line="480" w:lineRule="auto"/>
        <w:ind w:firstLine="720"/>
      </w:pPr>
      <w:r>
        <w:rPr>
          <w:rFonts w:ascii="Times New Roman" w:hAnsi="Times New Roman"/>
          <w:sz w:val="24"/>
        </w:rPr>
        <w:t xml:space="preserve">The heart of the proposal is frequency.</w:t>
      </w:r>
      <w:r>
        <w:rPr>
          <w:rFonts w:ascii="Times New Roman" w:hAnsi="Times New Roman"/>
          <w:sz w:val="24"/>
        </w:rPr>
        <w:t xml:space="preserve"> </w:t>
      </w:r>
      <w:r>
        <w:rPr>
          <w:rFonts w:ascii="Times New Roman" w:hAnsi="Times New Roman"/>
          <w:sz w:val="24"/>
        </w:rPr>
        <w:t xml:space="preserve">Bybee (2010)</w:t>
      </w:r>
      <w:r>
        <w:rPr>
          <w:rFonts w:ascii="Times New Roman" w:hAnsi="Times New Roman"/>
          <w:sz w:val="24"/>
        </w:rPr>
        <w:t xml:space="preserve"> </w:t>
      </w:r>
      <w:r>
        <w:rPr>
          <w:rFonts w:ascii="Times New Roman" w:hAnsi="Times New Roman"/>
          <w:sz w:val="24"/>
        </w:rPr>
        <w:t xml:space="preserve">argues that grammatical patterns emerge from usage: forms that occur frequently in particular slots become entrenched in memory, stored as units, and eventually acquire the distributional properties associated with those slots. Rather than being a set of abstract rules that happens to permit certain forms, grammar is the sedimented residue of repeated use.</w:t>
      </w:r>
    </w:p>
    <w:p>
      <w:pPr>
        <w:pStyle w:val="BodyText"/>
        <w:spacing w:line="480" w:lineRule="auto"/>
        <w:ind w:firstLine="720"/>
      </w:pPr>
      <w:r>
        <w:rPr>
          <w:rFonts w:ascii="Times New Roman" w:hAnsi="Times New Roman"/>
          <w:sz w:val="24"/>
        </w:rPr>
        <w:t xml:space="preserve">The naming taboo creates massive frequency asymmetry. A child who can’t say</w:t>
      </w:r>
      <w:r>
        <w:rPr>
          <w:rFonts w:ascii="Times New Roman" w:hAnsi="Times New Roman"/>
          <w:sz w:val="24"/>
        </w:rPr>
        <w:t xml:space="preserve"> </w:t>
      </w:r>
      <w:r>
        <w:rPr>
          <w:rFonts w:ascii="Times New Roman" w:hAnsi="Times New Roman"/>
          <w:i/>
          <w:iCs/>
          <w:sz w:val="24"/>
        </w:rPr>
        <w:t xml:space="preserve">Nick</w:t>
      </w:r>
      <w:r>
        <w:rPr>
          <w:rFonts w:ascii="Times New Roman" w:hAnsi="Times New Roman"/>
          <w:sz w:val="24"/>
        </w:rPr>
        <w:t xml:space="preserve"> </w:t>
      </w:r>
      <w:r>
        <w:rPr>
          <w:rFonts w:ascii="Times New Roman" w:hAnsi="Times New Roman"/>
          <w:sz w:val="24"/>
        </w:rPr>
        <w:t xml:space="preserve">says</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w:t>
      </w:r>
      <w:r>
        <w:rPr>
          <w:rFonts w:ascii="Times New Roman" w:hAnsi="Times New Roman"/>
          <w:sz w:val="24"/>
        </w:rPr>
        <w:t xml:space="preserve">instead – thousands of times per year, from first words through adolescence and beyond. These uses are concentrated in slots prototypically occupied by proper names: vocatives (</w:t>
      </w:r>
      <w:r>
        <w:rPr>
          <w:rFonts w:ascii="Times New Roman" w:hAnsi="Times New Roman"/>
          <w:i/>
          <w:iCs/>
          <w:sz w:val="24"/>
        </w:rPr>
        <w:t xml:space="preserve">Dad, look!</w:t>
      </w:r>
      <w:r>
        <w:rPr>
          <w:rFonts w:ascii="Times New Roman" w:hAnsi="Times New Roman"/>
          <w:sz w:val="24"/>
        </w:rPr>
        <w:t xml:space="preserve">), subjects of attention-getting verbs (</w:t>
      </w:r>
      <w:r>
        <w:rPr>
          <w:rFonts w:ascii="Times New Roman" w:hAnsi="Times New Roman"/>
          <w:i/>
          <w:iCs/>
          <w:sz w:val="24"/>
        </w:rPr>
        <w:t xml:space="preserve">Dad says…</w:t>
      </w:r>
      <w:r>
        <w:rPr>
          <w:rFonts w:ascii="Times New Roman" w:hAnsi="Times New Roman"/>
          <w:sz w:val="24"/>
        </w:rPr>
        <w:t xml:space="preserve">), referential uses in family discourse (</w:t>
      </w:r>
      <w:r>
        <w:rPr>
          <w:rFonts w:ascii="Times New Roman" w:hAnsi="Times New Roman"/>
          <w:i/>
          <w:iCs/>
          <w:sz w:val="24"/>
        </w:rPr>
        <w:t xml:space="preserve">Let’s ask Dad.</w:t>
      </w:r>
      <w:r>
        <w:rPr>
          <w:rFonts w:ascii="Times New Roman" w:hAnsi="Times New Roman"/>
          <w:sz w:val="24"/>
        </w:rPr>
        <w:t xml:space="preserve">).</w:t>
      </w:r>
    </w:p>
    <w:p>
      <w:pPr>
        <w:pStyle w:val="BodyText"/>
        <w:spacing w:line="480" w:lineRule="auto"/>
        <w:ind w:firstLine="720"/>
      </w:pPr>
      <w:r>
        <w:rPr>
          <w:rFonts w:ascii="Times New Roman" w:hAnsi="Times New Roman"/>
          <w:sz w:val="24"/>
        </w:rPr>
        <w:t xml:space="preserve">This concentration matters.</w:t>
      </w:r>
      <w:r>
        <w:rPr>
          <w:rFonts w:ascii="Times New Roman" w:hAnsi="Times New Roman"/>
          <w:sz w:val="24"/>
        </w:rPr>
        <w:t xml:space="preserve"> </w:t>
      </w:r>
      <w:r>
        <w:rPr>
          <w:rFonts w:ascii="Times New Roman" w:hAnsi="Times New Roman"/>
          <w:sz w:val="24"/>
        </w:rPr>
        <w:t xml:space="preserve">Bybee (2006)</w:t>
      </w:r>
      <w:r>
        <w:rPr>
          <w:rFonts w:ascii="Times New Roman" w:hAnsi="Times New Roman"/>
          <w:sz w:val="24"/>
        </w:rPr>
        <w:t xml:space="preserve"> </w:t>
      </w:r>
      <w:r>
        <w:rPr>
          <w:rFonts w:ascii="Times New Roman" w:hAnsi="Times New Roman"/>
          <w:sz w:val="24"/>
        </w:rPr>
        <w:t xml:space="preserve">shows that frequency in a particular construction produces entrenchment in that construction. A form used overwhelmingly in the distribution and with the reference of a proper name comes to be</w:t>
      </w:r>
      <w:r>
        <w:rPr>
          <w:rFonts w:ascii="Times New Roman" w:hAnsi="Times New Roman"/>
          <w:sz w:val="24"/>
        </w:rPr>
        <w:t xml:space="preserve"> </w:t>
      </w:r>
      <w:r>
        <w:rPr>
          <w:rFonts w:ascii="Times New Roman" w:hAnsi="Times New Roman"/>
          <w:i/>
          <w:iCs/>
          <w:sz w:val="24"/>
        </w:rPr>
        <w:t xml:space="preserve">stored as</w:t>
      </w:r>
      <w:r>
        <w:rPr>
          <w:rFonts w:ascii="Times New Roman" w:hAnsi="Times New Roman"/>
          <w:sz w:val="24"/>
        </w:rPr>
        <w:t xml:space="preserve"> </w:t>
      </w:r>
      <w:r>
        <w:rPr>
          <w:rFonts w:ascii="Times New Roman" w:hAnsi="Times New Roman"/>
          <w:sz w:val="24"/>
        </w:rPr>
        <w:t xml:space="preserve">one – not analysed compositionally as</w:t>
      </w:r>
      <w:r>
        <w:rPr>
          <w:rFonts w:ascii="Times New Roman" w:hAnsi="Times New Roman"/>
          <w:sz w:val="24"/>
        </w:rPr>
        <w:t xml:space="preserve"> </w:t>
      </w:r>
      <w:r>
        <w:rPr>
          <w:rFonts w:ascii="Times New Roman" w:hAnsi="Times New Roman"/>
          <w:sz w:val="24"/>
        </w:rPr>
        <w:t xml:space="preserve">“the parent who is my father”</w:t>
      </w:r>
      <w:r>
        <w:rPr>
          <w:rFonts w:ascii="Times New Roman" w:hAnsi="Times New Roman"/>
          <w:sz w:val="24"/>
        </w:rPr>
        <w:t xml:space="preserve"> </w:t>
      </w:r>
      <w:r>
        <w:rPr>
          <w:rFonts w:ascii="Times New Roman" w:hAnsi="Times New Roman"/>
          <w:sz w:val="24"/>
        </w:rPr>
        <w:t xml:space="preserve">but retrieved holistically as a unit with the syntactic properties of proper nouns. Developmental evidence supports this:</w:t>
      </w:r>
      <w:r>
        <w:rPr>
          <w:rFonts w:ascii="Times New Roman" w:hAnsi="Times New Roman"/>
          <w:sz w:val="24"/>
        </w:rPr>
        <w:t xml:space="preserve"> </w:t>
      </w:r>
      <w:r>
        <w:rPr>
          <w:rFonts w:ascii="Times New Roman" w:hAnsi="Times New Roman"/>
          <w:sz w:val="24"/>
        </w:rPr>
        <w:t xml:space="preserve">Benson &amp; Anglin (1987)</w:t>
      </w:r>
      <w:r>
        <w:rPr>
          <w:rFonts w:ascii="Times New Roman" w:hAnsi="Times New Roman"/>
          <w:sz w:val="24"/>
        </w:rPr>
        <w:t xml:space="preserve"> </w:t>
      </w:r>
      <w:r>
        <w:rPr>
          <w:rFonts w:ascii="Times New Roman" w:hAnsi="Times New Roman"/>
          <w:sz w:val="24"/>
        </w:rPr>
        <w:t xml:space="preserve">found that experience predicts both the quality of children’s definitions of kin terms and the order of acquisition –</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w:t>
      </w:r>
      <w:r>
        <w:rPr>
          <w:rFonts w:ascii="Times New Roman" w:hAnsi="Times New Roman"/>
          <w:sz w:val="24"/>
        </w:rPr>
        <w:t xml:space="preserve">are acquired earliest, in part because they are encountered most frequently. For</w:t>
      </w:r>
      <w:r>
        <w:rPr>
          <w:rFonts w:ascii="Times New Roman" w:hAnsi="Times New Roman"/>
          <w:sz w:val="24"/>
        </w:rPr>
        <w:t xml:space="preserve"> </w:t>
      </w:r>
      <w:r>
        <w:rPr>
          <w:rFonts w:ascii="Times New Roman" w:hAnsi="Times New Roman"/>
          <w:i/>
          <w:iCs/>
          <w:sz w:val="24"/>
        </w:rPr>
        <w:t xml:space="preserve">Auntie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Uncle</w:t>
      </w:r>
      <w:r>
        <w:rPr>
          <w:rFonts w:ascii="Times New Roman" w:hAnsi="Times New Roman"/>
          <w:sz w:val="24"/>
        </w:rPr>
        <w:t xml:space="preserve">, where the taboo is weaker, the title+name construction provides a parallel bridging context:</w:t>
      </w:r>
      <w:r>
        <w:rPr>
          <w:rFonts w:ascii="Times New Roman" w:hAnsi="Times New Roman"/>
          <w:sz w:val="24"/>
        </w:rPr>
        <w:t xml:space="preserve"> </w:t>
      </w:r>
      <w:r>
        <w:rPr>
          <w:rFonts w:ascii="Times New Roman" w:hAnsi="Times New Roman"/>
          <w:i/>
          <w:iCs/>
          <w:sz w:val="24"/>
        </w:rPr>
        <w:t xml:space="preserve">Auntie Sarah</w:t>
      </w:r>
      <w:r>
        <w:rPr>
          <w:rFonts w:ascii="Times New Roman" w:hAnsi="Times New Roman"/>
          <w:sz w:val="24"/>
        </w:rPr>
        <w:t xml:space="preserve"> </w:t>
      </w:r>
      <w:r>
        <w:rPr>
          <w:rFonts w:ascii="Times New Roman" w:hAnsi="Times New Roman"/>
          <w:sz w:val="24"/>
        </w:rPr>
        <w:t xml:space="preserve">places the kinship term in name-adjacent position, and bare</w:t>
      </w:r>
      <w:r>
        <w:rPr>
          <w:rFonts w:ascii="Times New Roman" w:hAnsi="Times New Roman"/>
          <w:sz w:val="24"/>
        </w:rPr>
        <w:t xml:space="preserve"> </w:t>
      </w:r>
      <w:r>
        <w:rPr>
          <w:rFonts w:ascii="Times New Roman" w:hAnsi="Times New Roman"/>
          <w:i/>
          <w:iCs/>
          <w:sz w:val="24"/>
        </w:rPr>
        <w:t xml:space="preserve">Auntie</w:t>
      </w:r>
      <w:r>
        <w:rPr>
          <w:rFonts w:ascii="Times New Roman" w:hAnsi="Times New Roman"/>
          <w:sz w:val="24"/>
        </w:rPr>
        <w:t xml:space="preserve"> </w:t>
      </w:r>
      <w:r>
        <w:rPr>
          <w:rFonts w:ascii="Times New Roman" w:hAnsi="Times New Roman"/>
          <w:sz w:val="24"/>
        </w:rPr>
        <w:t xml:space="preserve">arises by ellipsis of the personal name. The entrenchment logic is the same – frequency in proper-name distribution produces proper-noun storage – but the frequency source differs.</w:t>
      </w:r>
    </w:p>
    <w:p>
      <w:pPr>
        <w:pStyle w:val="BodyText"/>
        <w:spacing w:line="480" w:lineRule="auto"/>
        <w:ind w:firstLine="720"/>
      </w:pPr>
      <w:r>
        <w:rPr>
          <w:rFonts w:ascii="Times New Roman" w:hAnsi="Times New Roman"/>
          <w:sz w:val="24"/>
        </w:rPr>
        <w:t xml:space="preserve">Following</w:t>
      </w:r>
      <w:r>
        <w:rPr>
          <w:rFonts w:ascii="Times New Roman" w:hAnsi="Times New Roman"/>
          <w:sz w:val="24"/>
        </w:rPr>
        <w:t xml:space="preserve"> </w:t>
      </w:r>
      <w:r>
        <w:rPr>
          <w:rFonts w:ascii="Times New Roman" w:hAnsi="Times New Roman"/>
          <w:sz w:val="24"/>
        </w:rPr>
        <w:t xml:space="preserve">Traugott (1993)</w:t>
      </w:r>
      <w:r>
        <w:rPr>
          <w:rFonts w:ascii="Times New Roman" w:hAnsi="Times New Roman"/>
          <w:sz w:val="24"/>
        </w:rPr>
        <w:t xml:space="preserve">, we can map a grammaticalization trajectory for kinship terms:</w:t>
      </w:r>
    </w:p>
    <w:tbl>
      <w:tblPr>
        <w:tblStyle w:val="Table"/>
        <w:tblW w:type="auto" w:w="0"/>
        <w:tblLook w:firstRow="0" w:lastRow="0" w:firstColumn="0" w:lastColumn="0" w:noHBand="0" w:noVBand="0" w:val="000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7776"/>
      </w:tblGrid>
      <w:tr>
        <w:tc>
          <w:tcPr/>
          <w:p>
            <w:pPr>
              <w:pStyle w:val="Compact"/>
              <w:spacing w:line="480" w:lineRule="auto"/>
              <w:jc w:val="left"/>
            </w:pPr>
            <w:r>
              <w:rPr>
                <w:rFonts w:ascii="Times New Roman" w:hAnsi="Times New Roman"/>
                <w:sz w:val="24"/>
              </w:rPr>
              <w:t xml:space="preserve">(4)</w:t>
            </w:r>
          </w:p>
        </w:tc>
        <w:tc>
          <w:tcPr/>
          <w:p>
            <w:pPr>
              <w:pStyle w:val="Compact"/>
              <w:spacing w:line="480" w:lineRule="auto"/>
              <w:jc w:val="left"/>
            </w:pPr>
            <w:r>
              <w:rPr>
                <w:rFonts w:ascii="Times New Roman" w:hAnsi="Times New Roman"/>
                <w:sz w:val="24"/>
              </w:rPr>
              <w:t xml:space="preserve">a. Stage 1 (Source construction): relational NP headed by a common noun with genitive determinative:</w:t>
            </w:r>
            <w:r>
              <w:rPr>
                <w:rFonts w:ascii="Times New Roman" w:hAnsi="Times New Roman"/>
                <w:sz w:val="24"/>
              </w:rPr>
              <w:t xml:space="preserve"> </w:t>
            </w:r>
            <w:r>
              <w:rPr>
                <w:rFonts w:ascii="Times New Roman" w:hAnsi="Times New Roman"/>
                <w:i/>
                <w:iCs/>
                <w:sz w:val="24"/>
              </w:rPr>
              <w:t xml:space="preserve">my mom</w:t>
            </w:r>
          </w:p>
        </w:tc>
      </w:tr>
      <w:tr>
        <w:tc>
          <w:tcPr/>
          <w:p>
            <w:pPr>
              <w:pStyle w:val="Compact"/>
              <w:spacing w:line="480" w:lineRule="auto"/>
            </w:pPr>
          </w:p>
        </w:tc>
        <w:tc>
          <w:tcPr/>
          <w:p>
            <w:pPr>
              <w:pStyle w:val="Compact"/>
              <w:spacing w:line="480" w:lineRule="auto"/>
              <w:jc w:val="left"/>
            </w:pPr>
            <w:r>
              <w:rPr>
                <w:rFonts w:ascii="Times New Roman" w:hAnsi="Times New Roman"/>
                <w:sz w:val="24"/>
              </w:rPr>
              <w:t xml:space="preserve">b. Stage 2 (Bridging context): vocative function (determinerless by default):</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can you…? (For</w:t>
            </w:r>
            <w:r>
              <w:rPr>
                <w:rFonts w:ascii="Times New Roman" w:hAnsi="Times New Roman"/>
                <w:sz w:val="24"/>
              </w:rPr>
              <w:t xml:space="preserve"> </w:t>
            </w:r>
            <w:r>
              <w:rPr>
                <w:rFonts w:ascii="Times New Roman" w:hAnsi="Times New Roman"/>
                <w:i/>
                <w:iCs/>
                <w:sz w:val="24"/>
              </w:rPr>
              <w:t xml:space="preserve">Auntie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Uncle</w:t>
            </w:r>
            <w:r>
              <w:rPr>
                <w:rFonts w:ascii="Times New Roman" w:hAnsi="Times New Roman"/>
                <w:sz w:val="24"/>
              </w:rPr>
              <w:t xml:space="preserve">, the title+name construction provides an alternative bridge:</w:t>
            </w:r>
            <w:r>
              <w:rPr>
                <w:rFonts w:ascii="Times New Roman" w:hAnsi="Times New Roman"/>
                <w:sz w:val="24"/>
              </w:rPr>
              <w:t xml:space="preserve"> </w:t>
            </w:r>
            <w:r>
              <w:rPr>
                <w:rFonts w:ascii="Times New Roman" w:hAnsi="Times New Roman"/>
                <w:i/>
                <w:iCs/>
                <w:sz w:val="24"/>
              </w:rPr>
              <w:t xml:space="preserve">Auntie Sarah</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bare</w:t>
            </w:r>
            <w:r>
              <w:rPr>
                <w:rFonts w:ascii="Times New Roman" w:hAnsi="Times New Roman"/>
                <w:sz w:val="24"/>
              </w:rPr>
              <w:t xml:space="preserve"> </w:t>
            </w:r>
            <w:r>
              <w:rPr>
                <w:rFonts w:ascii="Times New Roman" w:hAnsi="Times New Roman"/>
                <w:i/>
                <w:iCs/>
                <w:sz w:val="24"/>
              </w:rPr>
              <w:t xml:space="preserve">Auntie</w:t>
            </w:r>
            <w:r>
              <w:rPr>
                <w:rFonts w:ascii="Times New Roman" w:hAnsi="Times New Roman"/>
                <w:sz w:val="24"/>
              </w:rPr>
              <w:t xml:space="preserve">.)</w:t>
            </w:r>
          </w:p>
        </w:tc>
      </w:tr>
      <w:tr>
        <w:tc>
          <w:tcPr/>
          <w:p>
            <w:pPr>
              <w:pStyle w:val="Compact"/>
              <w:spacing w:line="480" w:lineRule="auto"/>
            </w:pPr>
          </w:p>
        </w:tc>
        <w:tc>
          <w:tcPr/>
          <w:p>
            <w:pPr>
              <w:pStyle w:val="Compact"/>
              <w:spacing w:line="480" w:lineRule="auto"/>
              <w:jc w:val="left"/>
            </w:pPr>
            <w:r>
              <w:rPr>
                <w:rFonts w:ascii="Times New Roman" w:hAnsi="Times New Roman"/>
                <w:sz w:val="24"/>
              </w:rPr>
              <w:t xml:space="preserve">c. Stage 3 (Target construction): bare NP in argument position, domain-restricted (felicitous only within the family): Tell</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I’m late;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called.</w:t>
            </w:r>
          </w:p>
        </w:tc>
      </w:tr>
    </w:tbl>
    <w:p>
      <w:pPr>
        <w:pStyle w:val="BodyText"/>
        <w:spacing w:line="480" w:lineRule="auto"/>
        <w:ind w:firstLine="720"/>
      </w:pPr>
      <w:r>
        <w:rPr>
          <w:rFonts w:ascii="Times New Roman" w:hAnsi="Times New Roman"/>
          <w:sz w:val="24"/>
        </w:rPr>
        <w:t xml:space="preserve">The bridging context</w:t>
      </w:r>
      <w:r>
        <w:rPr>
          <w:rFonts w:ascii="Times New Roman" w:hAnsi="Times New Roman"/>
          <w:sz w:val="24"/>
        </w:rPr>
        <w:t xml:space="preserve"> </w:t>
      </w:r>
      <w:r>
        <w:rPr>
          <w:rFonts w:ascii="Times New Roman" w:hAnsi="Times New Roman"/>
          <w:sz w:val="24"/>
        </w:rPr>
        <w:t xml:space="preserve">(Heine 2002)</w:t>
      </w:r>
      <w:r>
        <w:rPr>
          <w:rFonts w:ascii="Times New Roman" w:hAnsi="Times New Roman"/>
          <w:sz w:val="24"/>
        </w:rPr>
        <w:t xml:space="preserve"> </w:t>
      </w:r>
      <w:r>
        <w:rPr>
          <w:rFonts w:ascii="Times New Roman" w:hAnsi="Times New Roman"/>
          <w:sz w:val="24"/>
        </w:rPr>
        <w:t xml:space="preserve">is essential. Vocative function licenses bare NPs – you can say</w:t>
      </w:r>
      <w:r>
        <w:rPr>
          <w:rFonts w:ascii="Times New Roman" w:hAnsi="Times New Roman"/>
          <w:sz w:val="24"/>
        </w:rPr>
        <w:t xml:space="preserve"> </w:t>
      </w:r>
      <w:r>
        <w:rPr>
          <w:rFonts w:ascii="Times New Roman" w:hAnsi="Times New Roman"/>
          <w:i/>
          <w:iCs/>
          <w:sz w:val="24"/>
        </w:rPr>
        <w:t xml:space="preserve">Waiter!</w:t>
      </w:r>
      <w:r>
        <w:rPr>
          <w:rFonts w:ascii="Times New Roman" w:hAnsi="Times New Roman"/>
          <w:sz w:val="24"/>
        </w:rPr>
        <w:t xml:space="preserve"> </w:t>
      </w:r>
      <w:r>
        <w:rPr>
          <w:rFonts w:ascii="Times New Roman" w:hAnsi="Times New Roman"/>
          <w:sz w:val="24"/>
        </w:rPr>
        <w:t xml:space="preserve">without a determiner. But vocative frequency alone doesn’t explain proper-noun syntax.</w:t>
      </w:r>
      <w:r>
        <w:rPr>
          <w:rFonts w:ascii="Times New Roman" w:hAnsi="Times New Roman"/>
          <w:sz w:val="24"/>
        </w:rPr>
        <w:t xml:space="preserve"> </w:t>
      </w:r>
      <w:r>
        <w:rPr>
          <w:rFonts w:ascii="Times New Roman" w:hAnsi="Times New Roman"/>
          <w:i/>
          <w:iCs/>
          <w:sz w:val="24"/>
        </w:rPr>
        <w:t xml:space="preserve">Waiter</w:t>
      </w:r>
      <w:r>
        <w:rPr>
          <w:rFonts w:ascii="Times New Roman" w:hAnsi="Times New Roman"/>
          <w:sz w:val="24"/>
        </w:rPr>
        <w:t xml:space="preserve"> </w:t>
      </w:r>
      <w:r>
        <w:rPr>
          <w:rFonts w:ascii="Times New Roman" w:hAnsi="Times New Roman"/>
          <w:sz w:val="24"/>
        </w:rPr>
        <w:t xml:space="preserve">doesn’t license bare singular subjects with a definite, individuated reading in ordinary conversation: *</w:t>
      </w:r>
      <w:r>
        <w:rPr>
          <w:rFonts w:ascii="Times New Roman" w:hAnsi="Times New Roman"/>
          <w:i/>
          <w:iCs/>
          <w:sz w:val="24"/>
        </w:rPr>
        <w:t xml:space="preserve">Waiter called</w:t>
      </w:r>
      <w:r>
        <w:rPr>
          <w:rFonts w:ascii="Times New Roman" w:hAnsi="Times New Roman"/>
          <w:sz w:val="24"/>
        </w:rPr>
        <w:t xml:space="preserve"> </w:t>
      </w:r>
      <w:r>
        <w:rPr>
          <w:rFonts w:ascii="Times New Roman" w:hAnsi="Times New Roman"/>
          <w:sz w:val="24"/>
        </w:rPr>
        <w:t xml:space="preserve">(with intended meaning</w:t>
      </w:r>
      <w:r>
        <w:rPr>
          <w:rFonts w:ascii="Times New Roman" w:hAnsi="Times New Roman"/>
          <w:sz w:val="24"/>
        </w:rPr>
        <w:t xml:space="preserve"> </w:t>
      </w:r>
      <w:r>
        <w:rPr>
          <w:rFonts w:ascii="Times New Roman" w:hAnsi="Times New Roman"/>
          <w:sz w:val="24"/>
        </w:rPr>
        <w:t xml:space="preserve">“the waiter we both know”</w:t>
      </w:r>
      <w:r>
        <w:rPr>
          <w:rFonts w:ascii="Times New Roman" w:hAnsi="Times New Roman"/>
          <w:sz w:val="24"/>
        </w:rPr>
        <w:t xml:space="preserve">).</w:t>
      </w:r>
    </w:p>
    <w:p>
      <w:pPr>
        <w:pStyle w:val="BodyText"/>
        <w:spacing w:line="480" w:lineRule="auto"/>
        <w:ind w:firstLine="720"/>
      </w:pPr>
      <w:r>
        <w:rPr>
          <w:rFonts w:ascii="Times New Roman" w:hAnsi="Times New Roman"/>
          <w:sz w:val="24"/>
        </w:rPr>
        <w:t xml:space="preserve">A structural objection arises here: vocatives are external to argument structure, so frequency in vocative position can’t directly license argument-position bareness. The bridge is analogical, not structural. On an exemplar-based account</w:t>
      </w:r>
      <w:r>
        <w:rPr>
          <w:rFonts w:ascii="Times New Roman" w:hAnsi="Times New Roman"/>
          <w:sz w:val="24"/>
        </w:rPr>
        <w:t xml:space="preserve"> </w:t>
      </w:r>
      <w:r>
        <w:rPr>
          <w:rFonts w:ascii="Times New Roman" w:hAnsi="Times New Roman"/>
          <w:sz w:val="24"/>
        </w:rPr>
        <w:t xml:space="preserve">(Bybee 2010, ch. 3)</w:t>
      </w:r>
      <w:r>
        <w:rPr>
          <w:rFonts w:ascii="Times New Roman" w:hAnsi="Times New Roman"/>
          <w:sz w:val="24"/>
        </w:rPr>
        <w:t xml:space="preserve">, high-frequency forms are stored holistically rather than assembled compositionally. A child who has produced</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thousands of times stores the bare form as a unit; holistically stored units resist analytic decomposition, including determiner insertion. The mechanism isn’t</w:t>
      </w:r>
      <w:r>
        <w:rPr>
          <w:rFonts w:ascii="Times New Roman" w:hAnsi="Times New Roman"/>
          <w:sz w:val="24"/>
        </w:rPr>
        <w:t xml:space="preserve"> </w:t>
      </w:r>
      <w:r>
        <w:rPr>
          <w:rFonts w:ascii="Times New Roman" w:hAnsi="Times New Roman"/>
          <w:sz w:val="24"/>
        </w:rPr>
        <w:t xml:space="preserve">“vocative syntax licenses argument syntax”</w:t>
      </w:r>
      <w:r>
        <w:rPr>
          <w:rFonts w:ascii="Times New Roman" w:hAnsi="Times New Roman"/>
          <w:sz w:val="24"/>
        </w:rPr>
        <w:t xml:space="preserve"> </w:t>
      </w:r>
      <w:r>
        <w:rPr>
          <w:rFonts w:ascii="Times New Roman" w:hAnsi="Times New Roman"/>
          <w:sz w:val="24"/>
        </w:rPr>
        <w:t xml:space="preserve">but</w:t>
      </w:r>
      <w:r>
        <w:rPr>
          <w:rFonts w:ascii="Times New Roman" w:hAnsi="Times New Roman"/>
          <w:sz w:val="24"/>
        </w:rPr>
        <w:t xml:space="preserve"> </w:t>
      </w:r>
      <w:r>
        <w:rPr>
          <w:rFonts w:ascii="Times New Roman" w:hAnsi="Times New Roman"/>
          <w:sz w:val="24"/>
        </w:rPr>
        <w:t xml:space="preserve">“vocative frequency produces holistic storage, and holistically stored forms carry their bare distribution into new syntactic contexts.”</w:t>
      </w:r>
      <w:r>
        <w:rPr>
          <w:rFonts w:ascii="Times New Roman" w:hAnsi="Times New Roman"/>
          <w:sz w:val="24"/>
        </w:rPr>
        <w:t xml:space="preserve"> </w:t>
      </w:r>
      <w:r>
        <w:rPr>
          <w:rFonts w:ascii="Times New Roman" w:hAnsi="Times New Roman"/>
          <w:sz w:val="24"/>
        </w:rPr>
        <w:t xml:space="preserve">The pragmatic-semantic continuity between vocative (</w:t>
      </w:r>
      <w:r>
        <w:rPr>
          <w:rFonts w:ascii="Times New Roman" w:hAnsi="Times New Roman"/>
          <w:i/>
          <w:iCs/>
          <w:sz w:val="24"/>
        </w:rPr>
        <w:t xml:space="preserve">Mom, can you…?</w:t>
      </w:r>
      <w:r>
        <w:rPr>
          <w:rFonts w:ascii="Times New Roman" w:hAnsi="Times New Roman"/>
          <w:sz w:val="24"/>
        </w:rPr>
        <w:t xml:space="preserve">) and bare subject (</w:t>
      </w:r>
      <w:r>
        <w:rPr>
          <w:rFonts w:ascii="Times New Roman" w:hAnsi="Times New Roman"/>
          <w:i/>
          <w:iCs/>
          <w:sz w:val="24"/>
        </w:rPr>
        <w:t xml:space="preserve">Mom called</w:t>
      </w:r>
      <w:r>
        <w:rPr>
          <w:rFonts w:ascii="Times New Roman" w:hAnsi="Times New Roman"/>
          <w:sz w:val="24"/>
        </w:rPr>
        <w:t xml:space="preserve">) supports the extension: both achieve deictic reference to the same individual within the family domain, and conversational adjacency provides the distributional bridge (see below).</w:t>
      </w:r>
    </w:p>
    <w:p>
      <w:pPr>
        <w:pStyle w:val="BodyText"/>
        <w:spacing w:line="480" w:lineRule="auto"/>
        <w:ind w:firstLine="720"/>
      </w:pPr>
      <w:r>
        <w:rPr>
          <w:rFonts w:ascii="Times New Roman" w:hAnsi="Times New Roman"/>
          <w:sz w:val="24"/>
        </w:rPr>
        <w:t xml:space="preserve">What distinguishes kinship terms is the</w:t>
      </w:r>
      <w:r>
        <w:rPr>
          <w:rFonts w:ascii="Times New Roman" w:hAnsi="Times New Roman"/>
          <w:sz w:val="24"/>
        </w:rPr>
        <w:t xml:space="preserve"> </w:t>
      </w:r>
      <w:r>
        <w:rPr>
          <w:rFonts w:ascii="Times New Roman" w:hAnsi="Times New Roman"/>
          <w:i/>
          <w:iCs/>
          <w:sz w:val="24"/>
        </w:rPr>
        <w:t xml:space="preserve">sustained frequency</w:t>
      </w:r>
      <w:r>
        <w:rPr>
          <w:rFonts w:ascii="Times New Roman" w:hAnsi="Times New Roman"/>
          <w:sz w:val="24"/>
        </w:rPr>
        <w:t xml:space="preserve"> </w:t>
      </w:r>
      <w:r>
        <w:rPr>
          <w:rFonts w:ascii="Times New Roman" w:hAnsi="Times New Roman"/>
          <w:sz w:val="24"/>
        </w:rPr>
        <w:t xml:space="preserve">across both vocative and referential uses. The taboo ensures that</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isn’t merely an occasional vocative but the</w:t>
      </w:r>
      <w:r>
        <w:rPr>
          <w:rFonts w:ascii="Times New Roman" w:hAnsi="Times New Roman"/>
          <w:sz w:val="24"/>
        </w:rPr>
        <w:t xml:space="preserve"> </w:t>
      </w:r>
      <w:r>
        <w:rPr>
          <w:rFonts w:ascii="Times New Roman" w:hAnsi="Times New Roman"/>
          <w:i/>
          <w:iCs/>
          <w:sz w:val="24"/>
        </w:rPr>
        <w:t xml:space="preserve">default name</w:t>
      </w:r>
      <w:r>
        <w:rPr>
          <w:rFonts w:ascii="Times New Roman" w:hAnsi="Times New Roman"/>
          <w:sz w:val="24"/>
        </w:rPr>
        <w:t xml:space="preserve"> </w:t>
      </w:r>
      <w:r>
        <w:rPr>
          <w:rFonts w:ascii="Times New Roman" w:hAnsi="Times New Roman"/>
          <w:sz w:val="24"/>
        </w:rPr>
        <w:t xml:space="preserve">for referring to one’s mother. This pushes the form beyond vocative bridging into full proper-noun status. The bare form also prevails because it is the most versatile option within the family. In Sacks and Schegloff’s terms, bare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satisfies both the preference for minimization and the preference for recognitionals in every family dyad: child to sibling, child to parent, parent to child</w:t>
      </w:r>
      <w:r>
        <w:rPr>
          <w:rFonts w:ascii="Times New Roman" w:hAnsi="Times New Roman"/>
          <w:sz w:val="24"/>
        </w:rPr>
        <w:t xml:space="preserve"> </w:t>
      </w:r>
      <w:r>
        <w:rPr>
          <w:rFonts w:ascii="Times New Roman" w:hAnsi="Times New Roman"/>
          <w:sz w:val="24"/>
        </w:rPr>
        <w:t xml:space="preserve">(Sacks &amp; Schegloff 1979)</w:t>
      </w:r>
      <w:r>
        <w:rPr>
          <w:rFonts w:ascii="Times New Roman" w:hAnsi="Times New Roman"/>
          <w:sz w:val="24"/>
        </w:rPr>
        <w:t xml:space="preserve">. The alternatives are narrower. Possessive</w:t>
      </w:r>
      <w:r>
        <w:rPr>
          <w:rFonts w:ascii="Times New Roman" w:hAnsi="Times New Roman"/>
          <w:sz w:val="24"/>
        </w:rPr>
        <w:t xml:space="preserve"> </w:t>
      </w:r>
      <w:r>
        <w:rPr>
          <w:rFonts w:ascii="Times New Roman" w:hAnsi="Times New Roman"/>
          <w:i/>
          <w:iCs/>
          <w:sz w:val="24"/>
        </w:rPr>
        <w:t xml:space="preserve">my mom</w:t>
      </w:r>
      <w:r>
        <w:rPr>
          <w:rFonts w:ascii="Times New Roman" w:hAnsi="Times New Roman"/>
          <w:sz w:val="24"/>
        </w:rPr>
        <w:t xml:space="preserve"> </w:t>
      </w:r>
      <w:r>
        <w:rPr>
          <w:rFonts w:ascii="Times New Roman" w:hAnsi="Times New Roman"/>
          <w:sz w:val="24"/>
        </w:rPr>
        <w:t xml:space="preserve">signals that the addressee doesn’t share the referent – fine when talking to a friend, but addressed to a sibling it implies a custody arrangement. Inclusive</w:t>
      </w:r>
      <w:r>
        <w:rPr>
          <w:rFonts w:ascii="Times New Roman" w:hAnsi="Times New Roman"/>
          <w:sz w:val="24"/>
        </w:rPr>
        <w:t xml:space="preserve"> </w:t>
      </w:r>
      <w:r>
        <w:rPr>
          <w:rFonts w:ascii="Times New Roman" w:hAnsi="Times New Roman"/>
          <w:i/>
          <w:iCs/>
          <w:sz w:val="24"/>
        </w:rPr>
        <w:t xml:space="preserve">our mom</w:t>
      </w:r>
      <w:r>
        <w:rPr>
          <w:rFonts w:ascii="Times New Roman" w:hAnsi="Times New Roman"/>
          <w:sz w:val="24"/>
        </w:rPr>
        <w:t xml:space="preserve"> </w:t>
      </w:r>
      <w:r>
        <w:rPr>
          <w:rFonts w:ascii="Times New Roman" w:hAnsi="Times New Roman"/>
          <w:sz w:val="24"/>
        </w:rPr>
        <w:t xml:space="preserve">presupposes shared filial relation, excluding the father-to-child dyad, and even between siblings it carries a whiff of committee ownership that most families don’t intend. Because bare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is the only form felicitous across all family configurations, it accumulates frequency from every participant, not just the child’s own production.</w:t>
      </w:r>
    </w:p>
    <w:p>
      <w:pPr>
        <w:pStyle w:val="BodyText"/>
        <w:spacing w:line="480" w:lineRule="auto"/>
        <w:ind w:firstLine="720"/>
      </w:pPr>
      <w:r>
        <w:rPr>
          <w:rFonts w:ascii="Times New Roman" w:hAnsi="Times New Roman"/>
          <w:sz w:val="24"/>
        </w:rPr>
        <w:t xml:space="preserve">In the framework of</w:t>
      </w:r>
      <w:r>
        <w:rPr>
          <w:rFonts w:ascii="Times New Roman" w:hAnsi="Times New Roman"/>
          <w:sz w:val="24"/>
        </w:rPr>
        <w:t xml:space="preserve"> </w:t>
      </w:r>
      <w:r>
        <w:rPr>
          <w:rFonts w:ascii="Times New Roman" w:hAnsi="Times New Roman"/>
          <w:sz w:val="24"/>
        </w:rPr>
        <w:t xml:space="preserve">Traugott &amp; Trousdale (2013)</w:t>
      </w:r>
      <w:r>
        <w:rPr>
          <w:rFonts w:ascii="Times New Roman" w:hAnsi="Times New Roman"/>
          <w:sz w:val="24"/>
        </w:rPr>
        <w:t xml:space="preserve">, the kinship case represents</w:t>
      </w:r>
      <w:r>
        <w:rPr>
          <w:rFonts w:ascii="Times New Roman" w:hAnsi="Times New Roman"/>
          <w:sz w:val="24"/>
        </w:rPr>
        <w:t xml:space="preserve"> </w:t>
      </w:r>
      <w:r>
        <w:rPr>
          <w:rFonts w:ascii="Times New Roman" w:hAnsi="Times New Roman"/>
          <w:smallCaps/>
          <w:sz w:val="24"/>
        </w:rPr>
        <w:t xml:space="preserve">constructionalization</w:t>
      </w:r>
      <w:r>
        <w:rPr>
          <w:rFonts w:ascii="Times New Roman" w:hAnsi="Times New Roman"/>
          <w:sz w:val="24"/>
        </w:rPr>
        <w:t xml:space="preserve"> </w:t>
      </w:r>
      <w:r>
        <w:rPr>
          <w:rFonts w:ascii="Times New Roman" w:hAnsi="Times New Roman"/>
          <w:sz w:val="24"/>
        </w:rPr>
        <w:t xml:space="preserve">– a new form-meaning pairing – rather than mere constructional change. The kinship proper-name construction is item-specific: high token frequency for a few items (</w:t>
      </w:r>
      <w:r>
        <w:rPr>
          <w:rFonts w:ascii="Times New Roman" w:hAnsi="Times New Roman"/>
          <w:i/>
          <w:iCs/>
          <w:sz w:val="24"/>
        </w:rPr>
        <w:t xml:space="preserve">Mom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but low type frequency (only a handful of kinship terms show the full pattern). On Bybee’s type/token distinction, high token frequency with low type frequency predicts item-specific lexicalization rather than productive schematic extension – exactly the gradience we observe. The construction hasn’t become productive enough to license bare arguments for novel kinship terms; rather, each term’s bare-argument status reflects its own frequency history. This connects the kinship case to broader patterns in construction emergence: token frequency drives entrenchment of particular items, while type frequency drives productive generalization</w:t>
      </w:r>
      <w:r>
        <w:rPr>
          <w:rFonts w:ascii="Times New Roman" w:hAnsi="Times New Roman"/>
          <w:sz w:val="24"/>
        </w:rPr>
        <w:t xml:space="preserve"> </w:t>
      </w:r>
      <w:r>
        <w:rPr>
          <w:rFonts w:ascii="Times New Roman" w:hAnsi="Times New Roman"/>
          <w:sz w:val="24"/>
        </w:rPr>
        <w:t xml:space="preserve">(Bybee 2010)</w:t>
      </w:r>
      <w:r>
        <w:rPr>
          <w:rFonts w:ascii="Times New Roman" w:hAnsi="Times New Roman"/>
          <w:sz w:val="24"/>
        </w:rPr>
        <w:t xml:space="preserve">.</w:t>
      </w:r>
    </w:p>
    <w:p>
      <w:pPr>
        <w:pStyle w:val="BodyText"/>
        <w:spacing w:line="480" w:lineRule="auto"/>
        <w:ind w:firstLine="720"/>
      </w:pPr>
      <w:r>
        <w:rPr>
          <w:rFonts w:ascii="Times New Roman" w:hAnsi="Times New Roman"/>
          <w:sz w:val="24"/>
        </w:rPr>
        <w:t xml:space="preserve">The hierarchy described in Section </w:t>
      </w:r>
      <w:hyperlink w:anchor="sec:syntax">
        <w:r>
          <w:rPr>
            <w:rStyle w:val="Hyperlink"/>
          </w:rPr>
          <w:t xml:space="preserve">3</w:t>
        </w:r>
      </w:hyperlink>
      <w:r>
        <w:rPr>
          <w:rFonts w:ascii="Times New Roman" w:hAnsi="Times New Roman"/>
          <w:sz w:val="24"/>
        </w:rPr>
        <w:t xml:space="preserve"> </w:t>
      </w:r>
      <w:r>
        <w:rPr>
          <w:rFonts w:ascii="Times New Roman" w:hAnsi="Times New Roman"/>
          <w:sz w:val="24"/>
        </w:rPr>
        <w:t xml:space="preserve">– from fully licensed</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to unlicensed</w:t>
      </w:r>
      <w:r>
        <w:rPr>
          <w:rFonts w:ascii="Times New Roman" w:hAnsi="Times New Roman"/>
          <w:sz w:val="24"/>
        </w:rPr>
        <w:t xml:space="preserve"> </w:t>
      </w:r>
      <w:r>
        <w:rPr>
          <w:rFonts w:ascii="Times New Roman" w:hAnsi="Times New Roman"/>
          <w:i/>
          <w:iCs/>
          <w:sz w:val="24"/>
        </w:rPr>
        <w:t xml:space="preserve">Cousin</w:t>
      </w:r>
      <w:r>
        <w:rPr>
          <w:rFonts w:ascii="Times New Roman" w:hAnsi="Times New Roman"/>
          <w:sz w:val="24"/>
        </w:rPr>
        <w:t xml:space="preserve"> </w:t>
      </w:r>
      <w:r>
        <w:rPr>
          <w:rFonts w:ascii="Times New Roman" w:hAnsi="Times New Roman"/>
          <w:sz w:val="24"/>
        </w:rPr>
        <w:t xml:space="preserve">– tracks address frequency: it’s a prediction of the mechanism, not an arbitrary list. More formal terms like</w:t>
      </w:r>
      <w:r>
        <w:rPr>
          <w:rFonts w:ascii="Times New Roman" w:hAnsi="Times New Roman"/>
          <w:sz w:val="24"/>
        </w:rPr>
        <w:t xml:space="preserve"> </w:t>
      </w:r>
      <w:r>
        <w:rPr>
          <w:rFonts w:ascii="Times New Roman" w:hAnsi="Times New Roman"/>
          <w:i/>
          <w:iCs/>
          <w:sz w:val="24"/>
        </w:rPr>
        <w:t xml:space="preserve">Mother</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Father</w:t>
      </w:r>
      <w:r>
        <w:rPr>
          <w:rFonts w:ascii="Times New Roman" w:hAnsi="Times New Roman"/>
          <w:sz w:val="24"/>
        </w:rPr>
        <w:t xml:space="preserve"> </w:t>
      </w:r>
      <w:r>
        <w:rPr>
          <w:rFonts w:ascii="Times New Roman" w:hAnsi="Times New Roman"/>
          <w:sz w:val="24"/>
        </w:rPr>
        <w:t xml:space="preserve">appear as bare singulars but are register-sensitive, associated with diary style, conservative familects, or religious contexts – evidence that the gradience isn’t just cross-term but cross-register, reflecting different usage contexts producing different degrees of entrenchment. The</w:t>
      </w:r>
      <w:r>
        <w:rPr>
          <w:rFonts w:ascii="Times New Roman" w:hAnsi="Times New Roman"/>
          <w:sz w:val="24"/>
        </w:rPr>
        <w:t xml:space="preserve"> </w:t>
      </w:r>
      <w:r>
        <w:rPr>
          <w:rFonts w:ascii="Times New Roman" w:hAnsi="Times New Roman"/>
          <w:i/>
          <w:iCs/>
          <w:sz w:val="24"/>
        </w:rPr>
        <w:t xml:space="preserve">Mother</w:t>
      </w:r>
      <w:r>
        <w:rPr>
          <w:rFonts w:ascii="Times New Roman" w:hAnsi="Times New Roman"/>
          <w:sz w:val="24"/>
        </w:rPr>
        <w:t xml:space="preserve">/</w:t>
      </w:r>
      <w:r>
        <w:rPr>
          <w:rFonts w:ascii="Times New Roman" w:hAnsi="Times New Roman"/>
          <w:i/>
          <w:iCs/>
          <w:sz w:val="24"/>
        </w:rPr>
        <w:t xml:space="preserve">Father</w:t>
      </w:r>
      <w:r>
        <w:rPr>
          <w:rFonts w:ascii="Times New Roman" w:hAnsi="Times New Roman"/>
          <w:sz w:val="24"/>
        </w:rPr>
        <w:t xml:space="preserve"> </w:t>
      </w:r>
      <w:r>
        <w:rPr>
          <w:rFonts w:ascii="Times New Roman" w:hAnsi="Times New Roman"/>
          <w:sz w:val="24"/>
        </w:rPr>
        <w:t xml:space="preserve">case deserves extended comment because it tests the mechanism directly. Register restriction reduces overall frequency: if</w:t>
      </w:r>
      <w:r>
        <w:rPr>
          <w:rFonts w:ascii="Times New Roman" w:hAnsi="Times New Roman"/>
          <w:sz w:val="24"/>
        </w:rPr>
        <w:t xml:space="preserve"> </w:t>
      </w:r>
      <w:r>
        <w:rPr>
          <w:rFonts w:ascii="Times New Roman" w:hAnsi="Times New Roman"/>
          <w:i/>
          <w:iCs/>
          <w:sz w:val="24"/>
        </w:rPr>
        <w:t xml:space="preserve">Mother</w:t>
      </w:r>
      <w:r>
        <w:rPr>
          <w:rFonts w:ascii="Times New Roman" w:hAnsi="Times New Roman"/>
          <w:sz w:val="24"/>
        </w:rPr>
        <w:t xml:space="preserve"> </w:t>
      </w:r>
      <w:r>
        <w:rPr>
          <w:rFonts w:ascii="Times New Roman" w:hAnsi="Times New Roman"/>
          <w:sz w:val="24"/>
        </w:rPr>
        <w:t xml:space="preserve">occurs primarily in formal or conservative registers, its total exposure in name-position is far lower than</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’s, producing weaker entrenchment and narrower constructional licensing. CHILDES undersamples the registers where</w:t>
      </w:r>
      <w:r>
        <w:rPr>
          <w:rFonts w:ascii="Times New Roman" w:hAnsi="Times New Roman"/>
          <w:sz w:val="24"/>
        </w:rPr>
        <w:t xml:space="preserve"> </w:t>
      </w:r>
      <w:r>
        <w:rPr>
          <w:rFonts w:ascii="Times New Roman" w:hAnsi="Times New Roman"/>
          <w:i/>
          <w:iCs/>
          <w:sz w:val="24"/>
        </w:rPr>
        <w:t xml:space="preserve">Mother</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Father</w:t>
      </w:r>
      <w:r>
        <w:rPr>
          <w:rFonts w:ascii="Times New Roman" w:hAnsi="Times New Roman"/>
          <w:sz w:val="24"/>
        </w:rPr>
        <w:t xml:space="preserve"> </w:t>
      </w:r>
      <w:r>
        <w:rPr>
          <w:rFonts w:ascii="Times New Roman" w:hAnsi="Times New Roman"/>
          <w:sz w:val="24"/>
        </w:rPr>
        <w:t xml:space="preserve">dominate – formal family narratives, religious instruction, conservative British familects – so the corpus evidence underestimates their bare-argument use in those contexts. The mechanism predicts that in communities or registers where</w:t>
      </w:r>
      <w:r>
        <w:rPr>
          <w:rFonts w:ascii="Times New Roman" w:hAnsi="Times New Roman"/>
          <w:sz w:val="24"/>
        </w:rPr>
        <w:t xml:space="preserve"> </w:t>
      </w:r>
      <w:r>
        <w:rPr>
          <w:rFonts w:ascii="Times New Roman" w:hAnsi="Times New Roman"/>
          <w:i/>
          <w:iCs/>
          <w:sz w:val="24"/>
        </w:rPr>
        <w:t xml:space="preserve">Mother</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Father</w:t>
      </w:r>
      <w:r>
        <w:rPr>
          <w:rFonts w:ascii="Times New Roman" w:hAnsi="Times New Roman"/>
          <w:sz w:val="24"/>
        </w:rPr>
        <w:t xml:space="preserve"> </w:t>
      </w:r>
      <w:r>
        <w:rPr>
          <w:rFonts w:ascii="Times New Roman" w:hAnsi="Times New Roman"/>
          <w:sz w:val="24"/>
        </w:rPr>
        <w:t xml:space="preserve">are the primary address forms (conservative religious families, some British English varieties), they should show stronger proper-noun properties than the CHILDES data suggests. This is a prediction, not a problem: register-mediated frequency asymmetry is exactly what the account expects.</w:t>
      </w:r>
    </w:p>
    <w:p>
      <w:pPr>
        <w:pStyle w:val="BodyText"/>
        <w:spacing w:line="480" w:lineRule="auto"/>
        <w:ind w:firstLine="720"/>
      </w:pPr>
      <w:r>
        <w:rPr>
          <w:rFonts w:ascii="Times New Roman" w:hAnsi="Times New Roman"/>
          <w:sz w:val="24"/>
        </w:rPr>
        <w:t xml:space="preserve">The mechanism makes three testable predictions about corpus distributions: (a) parent terms should show higher vocative concentration than extended kin terms; (b) vocative concentration should correlate with bare-argument use across terms; (c) children should drive the vocative skew, since the taboo operates on what children</w:t>
      </w:r>
      <w:r>
        <w:rPr>
          <w:rFonts w:ascii="Times New Roman" w:hAnsi="Times New Roman"/>
          <w:sz w:val="24"/>
        </w:rPr>
        <w:t xml:space="preserve"> </w:t>
      </w:r>
      <w:r>
        <w:rPr>
          <w:rFonts w:ascii="Times New Roman" w:hAnsi="Times New Roman"/>
          <w:i/>
          <w:iCs/>
          <w:sz w:val="24"/>
        </w:rPr>
        <w:t xml:space="preserve">produce</w:t>
      </w:r>
      <w:r>
        <w:rPr>
          <w:rFonts w:ascii="Times New Roman" w:hAnsi="Times New Roman"/>
          <w:sz w:val="24"/>
        </w:rPr>
        <w:t xml:space="preserve">, not merely what they hear. The CHILDES data test all three. (Table </w:t>
      </w:r>
      <w:hyperlink w:anchor="tab:childes">
        <w:r>
          <w:rPr>
            <w:rStyle w:val="Hyperlink"/>
          </w:rPr>
          <w:t xml:space="preserve">2</w:t>
        </w:r>
      </w:hyperlink>
      <w:r>
        <w:rPr>
          <w:rFonts w:ascii="Times New Roman" w:hAnsi="Times New Roman"/>
          <w:sz w:val="24"/>
        </w:rPr>
        <w:t xml:space="preserve"> </w:t>
      </w:r>
      <w:r>
        <w:rPr>
          <w:rFonts w:ascii="Times New Roman" w:hAnsi="Times New Roman"/>
          <w:sz w:val="24"/>
        </w:rPr>
        <w:t xml:space="preserve">shows the terms with the highest token counts; the correlation analysis in Figure </w:t>
      </w:r>
      <w:hyperlink w:anchor="fig:vocative-bare">
        <w:r>
          <w:rPr>
            <w:rStyle w:val="Hyperlink"/>
          </w:rPr>
          <w:t xml:space="preserve">2</w:t>
        </w:r>
      </w:hyperlink>
      <w:r>
        <w:rPr>
          <w:rFonts w:ascii="Times New Roman" w:hAnsi="Times New Roman"/>
          <w:sz w:val="24"/>
        </w:rPr>
        <w:t xml:space="preserve"> </w:t>
      </w:r>
      <w:r>
        <w:rPr>
          <w:rFonts w:ascii="Times New Roman" w:hAnsi="Times New Roman"/>
          <w:sz w:val="24"/>
        </w:rPr>
        <w:t xml:space="preserve">includes all terms with at least 50 argument tokens,</w:t>
      </w:r>
      <w:r>
        <w:rPr>
          <w:rFonts w:ascii="Times New Roman" w:hAnsi="Times New Roman"/>
          <w:sz w:val="24"/>
        </w:rPr>
        <w:t xml:space="preserve"> </w:t>
      </w:r>
      <m:oMath>
        <m:r>
          <m:t>n</m:t>
        </m:r>
        <m:r>
          <m:rPr>
            <m:sty m:val="p"/>
          </m:rPr>
          <m:t>=</m:t>
        </m:r>
        <m:r>
          <m:t>30</m:t>
        </m:r>
      </m:oMath>
      <w:r>
        <w:rPr>
          <w:rFonts w:ascii="Times New Roman" w:hAnsi="Times New Roman"/>
          <w:sz w:val="24"/>
        </w:rPr>
        <w:t xml:space="preserve">.)</w:t>
      </w:r>
    </w:p>
    <w:p>
      <w:pPr>
        <w:pStyle w:val="BodyText"/>
        <w:spacing w:line="480" w:lineRule="auto"/>
      </w:pPr>
      <w:bookmarkStart w:id="21" w:name="sec:frequency"/>
      <w:bookmarkEnd w:id="21"/>
    </w:p>
    <w:p>
      <w:pPr>
        <w:pStyle w:val="BodyText"/>
        <w:spacing w:line="480" w:lineRule="auto"/>
        <w:ind w:firstLine="720"/>
      </w:pPr>
      <w:r>
        <w:rPr>
          <w:rFonts w:ascii="Times New Roman" w:hAnsi="Times New Roman"/>
          <w:sz w:val="24"/>
        </w:rPr>
        <w:t xml:space="preserve">Data from the CHILDES corpus of child-directed and child-produced speech</w:t>
      </w:r>
      <w:r>
        <w:rPr>
          <w:rFonts w:ascii="Times New Roman" w:hAnsi="Times New Roman"/>
          <w:sz w:val="24"/>
        </w:rPr>
        <w:t xml:space="preserve"> </w:t>
      </w:r>
      <w:r>
        <w:rPr>
          <w:rFonts w:ascii="Times New Roman" w:hAnsi="Times New Roman"/>
          <w:sz w:val="24"/>
        </w:rPr>
        <w:t xml:space="preserve">(MacWhinney 2000)</w:t>
      </w:r>
      <w:r>
        <w:rPr>
          <w:rFonts w:ascii="Times New Roman" w:hAnsi="Times New Roman"/>
          <w:sz w:val="24"/>
        </w:rPr>
        <w:t xml:space="preserve"> </w:t>
      </w:r>
      <w:r>
        <w:rPr>
          <w:rFonts w:ascii="Times New Roman" w:hAnsi="Times New Roman"/>
          <w:sz w:val="24"/>
        </w:rPr>
        <w:t xml:space="preserve">provide direct support for the frequency mechanism. Table </w:t>
      </w:r>
      <w:hyperlink w:anchor="tab:childes">
        <w:r>
          <w:rPr>
            <w:rStyle w:val="Hyperlink"/>
          </w:rPr>
          <w:t xml:space="preserve">2</w:t>
        </w:r>
      </w:hyperlink>
      <w:r>
        <w:rPr>
          <w:rFonts w:ascii="Times New Roman" w:hAnsi="Times New Roman"/>
          <w:sz w:val="24"/>
        </w:rPr>
        <w:t xml:space="preserve"> </w:t>
      </w:r>
      <w:r>
        <w:rPr>
          <w:rFonts w:ascii="Times New Roman" w:hAnsi="Times New Roman"/>
          <w:sz w:val="24"/>
        </w:rPr>
        <w:t xml:space="preserve">shows frequency counts (per million words) across the English-NA collection (all corpora, speaker tiers only), distinguishing vocative uses from argument uses. Vocative was operationalized as: (i) comma-adjacent occurrences (e.g.,</w:t>
      </w:r>
      <w:r>
        <w:rPr>
          <w:rFonts w:ascii="Times New Roman" w:hAnsi="Times New Roman"/>
          <w:sz w:val="24"/>
        </w:rPr>
        <w:t xml:space="preserve"> </w:t>
      </w:r>
      <w:r>
        <w:rPr>
          <w:rFonts w:ascii="Times New Roman" w:hAnsi="Times New Roman"/>
          <w:i/>
          <w:iCs/>
          <w:sz w:val="24"/>
        </w:rPr>
        <w:t xml:space="preserve">Mom, look</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i/>
          <w:iCs/>
          <w:sz w:val="24"/>
        </w:rPr>
        <w:t xml:space="preserve">No, Mom</w:t>
      </w:r>
      <w:r>
        <w:rPr>
          <w:rFonts w:ascii="Times New Roman" w:hAnsi="Times New Roman"/>
          <w:sz w:val="24"/>
        </w:rPr>
        <w:t xml:space="preserve">), or (ii) utterances consisting solely of kinship terms plus a small closed set of discourse particles (</w:t>
      </w:r>
      <w:r>
        <w:rPr>
          <w:rFonts w:ascii="Times New Roman" w:hAnsi="Times New Roman"/>
          <w:i/>
          <w:iCs/>
          <w:sz w:val="24"/>
        </w:rPr>
        <w:t xml:space="preserve">hey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hi</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oh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uh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um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yeah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yes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no</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please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well</w:t>
      </w:r>
      <w:r>
        <w:rPr>
          <w:rFonts w:ascii="Times New Roman" w:hAnsi="Times New Roman"/>
          <w:sz w:val="24"/>
        </w:rPr>
        <w:t xml:space="preserve">). All other occurrences were coded as argument uses. The extraction script is available in the online repository.</w:t>
      </w:r>
      <w:r>
        <w:rPr>
          <w:rStyle w:val="EndnoteReference"/>
          <w:rFonts w:ascii="Times New Roman" w:hAnsi="Times New Roman"/>
          <w:sz w:val="24"/>
        </w:rPr>
        <w:endnoteReference w:id="22"/>
      </w:r>
    </w:p>
    <w:bookmarkStart w:id="23" w:name="tab:childes"/>
    <w:p>
      <w:pPr>
        <w:pStyle w:val="TableCaption"/>
        <w:spacing w:line="480" w:lineRule="auto"/>
      </w:pPr>
      <w:r>
        <w:rPr>
          <w:rFonts w:ascii="Times New Roman" w:hAnsi="Times New Roman"/>
          <w:sz w:val="24"/>
        </w:rPr>
        <w:t>Table 2: Kinship term frequencies in CHILDES English-NA (per million words).</w:t>
      </w:r>
    </w:p>
    <w:tbl>
      <w:tblPr>
        <w:tblStyle w:val="Table"/>
        <w:tblW w:type="auto" w:w="0"/>
        <w:tblLook w:firstRow="1" w:lastRow="0" w:firstColumn="0" w:lastColumn="0" w:noHBand="0" w:noVBand="0" w:val="0020"/>
        <w:tblCaption w:val="Kinship term frequencies in CHILDES English-NA (per million words)."/>
      </w:tblPr>
      <w:tblGrid>
        <w:gridCol w:w="1980"/>
        <w:gridCol w:w="1980"/>
        <w:gridCol w:w="1980"/>
        <w:gridCol w:w="1980"/>
      </w:tblGrid>
      <w:tr>
        <w:trPr>
          <w:tblHeader w:val="on"/>
        </w:trPr>
        <w:tc>
          <w:tcPr/>
          <w:p>
            <w:pPr>
              <w:pStyle w:val="Compact"/>
              <w:spacing w:line="480" w:lineRule="auto"/>
              <w:jc w:val="left"/>
            </w:pPr>
            <w:r>
              <w:rPr>
                <w:rFonts w:ascii="Times New Roman" w:hAnsi="Times New Roman"/>
                <w:sz w:val="24"/>
              </w:rPr>
              <w:t xml:space="preserve">Term</w:t>
            </w:r>
          </w:p>
        </w:tc>
        <w:tc>
          <w:tcPr/>
          <w:p>
            <w:pPr>
              <w:pStyle w:val="Compact"/>
              <w:spacing w:line="480" w:lineRule="auto"/>
              <w:jc w:val="right"/>
            </w:pPr>
            <w:r>
              <w:rPr>
                <w:rFonts w:ascii="Times New Roman" w:hAnsi="Times New Roman"/>
                <w:sz w:val="24"/>
              </w:rPr>
              <w:t xml:space="preserve">Vocative ppm</w:t>
            </w:r>
          </w:p>
        </w:tc>
        <w:tc>
          <w:tcPr/>
          <w:p>
            <w:pPr>
              <w:pStyle w:val="Compact"/>
              <w:spacing w:line="480" w:lineRule="auto"/>
              <w:jc w:val="right"/>
            </w:pPr>
            <w:r>
              <w:rPr>
                <w:rFonts w:ascii="Times New Roman" w:hAnsi="Times New Roman"/>
                <w:sz w:val="24"/>
              </w:rPr>
              <w:t xml:space="preserve">Argument ppm</w:t>
            </w:r>
          </w:p>
        </w:tc>
        <w:tc>
          <w:tcPr/>
          <w:p>
            <w:pPr>
              <w:pStyle w:val="Compact"/>
              <w:spacing w:line="480" w:lineRule="auto"/>
              <w:jc w:val="right"/>
            </w:pPr>
            <w:r>
              <w:rPr>
                <w:rFonts w:ascii="Times New Roman" w:hAnsi="Times New Roman"/>
                <w:sz w:val="24"/>
              </w:rPr>
              <w:t xml:space="preserve">Vocative %</w:t>
            </w:r>
          </w:p>
        </w:tc>
      </w:tr>
      <w:tr>
        <w:tc>
          <w:tcPr/>
          <w:p>
            <w:pPr>
              <w:pStyle w:val="Compact"/>
              <w:spacing w:line="480" w:lineRule="auto"/>
              <w:jc w:val="left"/>
            </w:pPr>
            <w:r>
              <w:rPr>
                <w:rFonts w:ascii="Times New Roman" w:hAnsi="Times New Roman"/>
                <w:i/>
                <w:iCs/>
                <w:sz w:val="24"/>
              </w:rPr>
              <w:t xml:space="preserve">mommy</w:t>
            </w:r>
          </w:p>
        </w:tc>
        <w:tc>
          <w:tcPr/>
          <w:p>
            <w:pPr>
              <w:pStyle w:val="Compact"/>
              <w:spacing w:line="480" w:lineRule="auto"/>
              <w:jc w:val="right"/>
            </w:pPr>
            <w:r>
              <w:rPr>
                <w:rFonts w:ascii="Times New Roman" w:hAnsi="Times New Roman"/>
                <w:sz w:val="24"/>
              </w:rPr>
              <w:t xml:space="preserve">493</w:t>
            </w:r>
          </w:p>
        </w:tc>
        <w:tc>
          <w:tcPr/>
          <w:p>
            <w:pPr>
              <w:pStyle w:val="Compact"/>
              <w:spacing w:line="480" w:lineRule="auto"/>
              <w:jc w:val="right"/>
            </w:pPr>
            <w:r>
              <w:rPr>
                <w:rFonts w:ascii="Times New Roman" w:hAnsi="Times New Roman"/>
                <w:sz w:val="24"/>
              </w:rPr>
              <w:t xml:space="preserve">2,155</w:t>
            </w:r>
          </w:p>
        </w:tc>
        <w:tc>
          <w:tcPr/>
          <w:p>
            <w:pPr>
              <w:pStyle w:val="Compact"/>
              <w:spacing w:line="480" w:lineRule="auto"/>
              <w:jc w:val="right"/>
            </w:pPr>
            <w:r>
              <w:rPr>
                <w:rFonts w:ascii="Times New Roman" w:hAnsi="Times New Roman"/>
                <w:sz w:val="24"/>
              </w:rPr>
              <w:t xml:space="preserve">19%</w:t>
            </w:r>
          </w:p>
        </w:tc>
      </w:tr>
      <w:tr>
        <w:tc>
          <w:tcPr/>
          <w:p>
            <w:pPr>
              <w:pStyle w:val="Compact"/>
              <w:spacing w:line="480" w:lineRule="auto"/>
              <w:jc w:val="left"/>
            </w:pPr>
            <w:r>
              <w:rPr>
                <w:rFonts w:ascii="Times New Roman" w:hAnsi="Times New Roman"/>
                <w:i/>
                <w:iCs/>
                <w:sz w:val="24"/>
              </w:rPr>
              <w:t xml:space="preserve">mom</w:t>
            </w:r>
          </w:p>
        </w:tc>
        <w:tc>
          <w:tcPr/>
          <w:p>
            <w:pPr>
              <w:pStyle w:val="Compact"/>
              <w:spacing w:line="480" w:lineRule="auto"/>
              <w:jc w:val="right"/>
            </w:pPr>
            <w:r>
              <w:rPr>
                <w:rFonts w:ascii="Times New Roman" w:hAnsi="Times New Roman"/>
                <w:sz w:val="24"/>
              </w:rPr>
              <w:t xml:space="preserve">240</w:t>
            </w:r>
          </w:p>
        </w:tc>
        <w:tc>
          <w:tcPr/>
          <w:p>
            <w:pPr>
              <w:pStyle w:val="Compact"/>
              <w:spacing w:line="480" w:lineRule="auto"/>
              <w:jc w:val="right"/>
            </w:pPr>
            <w:r>
              <w:rPr>
                <w:rFonts w:ascii="Times New Roman" w:hAnsi="Times New Roman"/>
                <w:sz w:val="24"/>
              </w:rPr>
              <w:t xml:space="preserve">744</w:t>
            </w:r>
          </w:p>
        </w:tc>
        <w:tc>
          <w:tcPr/>
          <w:p>
            <w:pPr>
              <w:pStyle w:val="Compact"/>
              <w:spacing w:line="480" w:lineRule="auto"/>
              <w:jc w:val="right"/>
            </w:pPr>
            <w:r>
              <w:rPr>
                <w:rFonts w:ascii="Times New Roman" w:hAnsi="Times New Roman"/>
                <w:sz w:val="24"/>
              </w:rPr>
              <w:t xml:space="preserve">24%</w:t>
            </w:r>
          </w:p>
        </w:tc>
      </w:tr>
      <w:tr>
        <w:tc>
          <w:tcPr/>
          <w:p>
            <w:pPr>
              <w:pStyle w:val="Compact"/>
              <w:spacing w:line="480" w:lineRule="auto"/>
              <w:jc w:val="left"/>
            </w:pPr>
            <w:r>
              <w:rPr>
                <w:rFonts w:ascii="Times New Roman" w:hAnsi="Times New Roman"/>
                <w:i/>
                <w:iCs/>
                <w:sz w:val="24"/>
              </w:rPr>
              <w:t xml:space="preserve">daddy</w:t>
            </w:r>
          </w:p>
        </w:tc>
        <w:tc>
          <w:tcPr/>
          <w:p>
            <w:pPr>
              <w:pStyle w:val="Compact"/>
              <w:spacing w:line="480" w:lineRule="auto"/>
              <w:jc w:val="right"/>
            </w:pPr>
            <w:r>
              <w:rPr>
                <w:rFonts w:ascii="Times New Roman" w:hAnsi="Times New Roman"/>
                <w:sz w:val="24"/>
              </w:rPr>
              <w:t xml:space="preserve">242</w:t>
            </w:r>
          </w:p>
        </w:tc>
        <w:tc>
          <w:tcPr/>
          <w:p>
            <w:pPr>
              <w:pStyle w:val="Compact"/>
              <w:spacing w:line="480" w:lineRule="auto"/>
              <w:jc w:val="right"/>
            </w:pPr>
            <w:r>
              <w:rPr>
                <w:rFonts w:ascii="Times New Roman" w:hAnsi="Times New Roman"/>
                <w:sz w:val="24"/>
              </w:rPr>
              <w:t xml:space="preserve">1,242</w:t>
            </w:r>
          </w:p>
        </w:tc>
        <w:tc>
          <w:tcPr/>
          <w:p>
            <w:pPr>
              <w:pStyle w:val="Compact"/>
              <w:spacing w:line="480" w:lineRule="auto"/>
              <w:jc w:val="right"/>
            </w:pPr>
            <w:r>
              <w:rPr>
                <w:rFonts w:ascii="Times New Roman" w:hAnsi="Times New Roman"/>
                <w:sz w:val="24"/>
              </w:rPr>
              <w:t xml:space="preserve">16%</w:t>
            </w:r>
          </w:p>
        </w:tc>
      </w:tr>
      <w:tr>
        <w:tc>
          <w:tcPr/>
          <w:p>
            <w:pPr>
              <w:pStyle w:val="Compact"/>
              <w:spacing w:line="480" w:lineRule="auto"/>
              <w:jc w:val="left"/>
            </w:pPr>
            <w:r>
              <w:rPr>
                <w:rFonts w:ascii="Times New Roman" w:hAnsi="Times New Roman"/>
                <w:i/>
                <w:iCs/>
                <w:sz w:val="24"/>
              </w:rPr>
              <w:t xml:space="preserve">dad</w:t>
            </w:r>
          </w:p>
        </w:tc>
        <w:tc>
          <w:tcPr/>
          <w:p>
            <w:pPr>
              <w:pStyle w:val="Compact"/>
              <w:spacing w:line="480" w:lineRule="auto"/>
              <w:jc w:val="right"/>
            </w:pPr>
            <w:r>
              <w:rPr>
                <w:rFonts w:ascii="Times New Roman" w:hAnsi="Times New Roman"/>
                <w:sz w:val="24"/>
              </w:rPr>
              <w:t xml:space="preserve">97</w:t>
            </w:r>
          </w:p>
        </w:tc>
        <w:tc>
          <w:tcPr/>
          <w:p>
            <w:pPr>
              <w:pStyle w:val="Compact"/>
              <w:spacing w:line="480" w:lineRule="auto"/>
              <w:jc w:val="right"/>
            </w:pPr>
            <w:r>
              <w:rPr>
                <w:rFonts w:ascii="Times New Roman" w:hAnsi="Times New Roman"/>
                <w:sz w:val="24"/>
              </w:rPr>
              <w:t xml:space="preserve">353</w:t>
            </w:r>
          </w:p>
        </w:tc>
        <w:tc>
          <w:tcPr/>
          <w:p>
            <w:pPr>
              <w:pStyle w:val="Compact"/>
              <w:spacing w:line="480" w:lineRule="auto"/>
              <w:jc w:val="right"/>
            </w:pPr>
            <w:r>
              <w:rPr>
                <w:rFonts w:ascii="Times New Roman" w:hAnsi="Times New Roman"/>
                <w:sz w:val="24"/>
              </w:rPr>
              <w:t xml:space="preserve">22%</w:t>
            </w:r>
          </w:p>
        </w:tc>
      </w:tr>
      <w:tr>
        <w:tc>
          <w:tcPr/>
          <w:p>
            <w:pPr>
              <w:pStyle w:val="Compact"/>
              <w:spacing w:line="480" w:lineRule="auto"/>
              <w:jc w:val="left"/>
            </w:pPr>
            <w:r>
              <w:rPr>
                <w:rFonts w:ascii="Times New Roman" w:hAnsi="Times New Roman"/>
                <w:i/>
                <w:iCs/>
                <w:sz w:val="24"/>
              </w:rPr>
              <w:t xml:space="preserve">mama</w:t>
            </w:r>
          </w:p>
        </w:tc>
        <w:tc>
          <w:tcPr/>
          <w:p>
            <w:pPr>
              <w:pStyle w:val="Compact"/>
              <w:spacing w:line="480" w:lineRule="auto"/>
              <w:jc w:val="right"/>
            </w:pPr>
            <w:r>
              <w:rPr>
                <w:rFonts w:ascii="Times New Roman" w:hAnsi="Times New Roman"/>
                <w:sz w:val="24"/>
              </w:rPr>
              <w:t xml:space="preserve">183</w:t>
            </w:r>
          </w:p>
        </w:tc>
        <w:tc>
          <w:tcPr/>
          <w:p>
            <w:pPr>
              <w:pStyle w:val="Compact"/>
              <w:spacing w:line="480" w:lineRule="auto"/>
              <w:jc w:val="right"/>
            </w:pPr>
            <w:r>
              <w:rPr>
                <w:rFonts w:ascii="Times New Roman" w:hAnsi="Times New Roman"/>
                <w:sz w:val="24"/>
              </w:rPr>
              <w:t xml:space="preserve">382</w:t>
            </w:r>
          </w:p>
        </w:tc>
        <w:tc>
          <w:tcPr/>
          <w:p>
            <w:pPr>
              <w:pStyle w:val="Compact"/>
              <w:spacing w:line="480" w:lineRule="auto"/>
              <w:jc w:val="right"/>
            </w:pPr>
            <w:r>
              <w:rPr>
                <w:rFonts w:ascii="Times New Roman" w:hAnsi="Times New Roman"/>
                <w:sz w:val="24"/>
              </w:rPr>
              <w:t xml:space="preserve">32%</w:t>
            </w:r>
          </w:p>
        </w:tc>
      </w:tr>
      <w:tr>
        <w:tc>
          <w:tcPr/>
          <w:p>
            <w:pPr>
              <w:pStyle w:val="Compact"/>
              <w:spacing w:line="480" w:lineRule="auto"/>
              <w:jc w:val="left"/>
            </w:pPr>
            <w:r>
              <w:rPr>
                <w:rFonts w:ascii="Times New Roman" w:hAnsi="Times New Roman"/>
                <w:i/>
                <w:iCs/>
                <w:sz w:val="24"/>
              </w:rPr>
              <w:t xml:space="preserve">dada</w:t>
            </w:r>
          </w:p>
        </w:tc>
        <w:tc>
          <w:tcPr/>
          <w:p>
            <w:pPr>
              <w:pStyle w:val="Compact"/>
              <w:spacing w:line="480" w:lineRule="auto"/>
              <w:jc w:val="right"/>
            </w:pPr>
            <w:r>
              <w:rPr>
                <w:rFonts w:ascii="Times New Roman" w:hAnsi="Times New Roman"/>
                <w:sz w:val="24"/>
              </w:rPr>
              <w:t xml:space="preserve">44</w:t>
            </w:r>
          </w:p>
        </w:tc>
        <w:tc>
          <w:tcPr/>
          <w:p>
            <w:pPr>
              <w:pStyle w:val="Compact"/>
              <w:spacing w:line="480" w:lineRule="auto"/>
              <w:jc w:val="right"/>
            </w:pPr>
            <w:r>
              <w:rPr>
                <w:rFonts w:ascii="Times New Roman" w:hAnsi="Times New Roman"/>
                <w:sz w:val="24"/>
              </w:rPr>
              <w:t xml:space="preserve">57</w:t>
            </w:r>
          </w:p>
        </w:tc>
        <w:tc>
          <w:tcPr/>
          <w:p>
            <w:pPr>
              <w:pStyle w:val="Compact"/>
              <w:spacing w:line="480" w:lineRule="auto"/>
              <w:jc w:val="right"/>
            </w:pPr>
            <w:r>
              <w:rPr>
                <w:rFonts w:ascii="Times New Roman" w:hAnsi="Times New Roman"/>
                <w:sz w:val="24"/>
              </w:rPr>
              <w:t xml:space="preserve">43%</w:t>
            </w:r>
          </w:p>
        </w:tc>
      </w:tr>
      <w:tr>
        <w:tc>
          <w:tcPr/>
          <w:p>
            <w:pPr>
              <w:pStyle w:val="Compact"/>
              <w:spacing w:line="480" w:lineRule="auto"/>
              <w:jc w:val="left"/>
            </w:pPr>
            <w:r>
              <w:rPr>
                <w:rFonts w:ascii="Times New Roman" w:hAnsi="Times New Roman"/>
                <w:i/>
                <w:iCs/>
                <w:sz w:val="24"/>
              </w:rPr>
              <w:t xml:space="preserve">grandma</w:t>
            </w:r>
          </w:p>
        </w:tc>
        <w:tc>
          <w:tcPr/>
          <w:p>
            <w:pPr>
              <w:pStyle w:val="Compact"/>
              <w:spacing w:line="480" w:lineRule="auto"/>
              <w:jc w:val="right"/>
            </w:pPr>
            <w:r>
              <w:rPr>
                <w:rFonts w:ascii="Times New Roman" w:hAnsi="Times New Roman"/>
                <w:sz w:val="24"/>
              </w:rPr>
              <w:t xml:space="preserve">24</w:t>
            </w:r>
          </w:p>
        </w:tc>
        <w:tc>
          <w:tcPr/>
          <w:p>
            <w:pPr>
              <w:pStyle w:val="Compact"/>
              <w:spacing w:line="480" w:lineRule="auto"/>
              <w:jc w:val="right"/>
            </w:pPr>
            <w:r>
              <w:rPr>
                <w:rFonts w:ascii="Times New Roman" w:hAnsi="Times New Roman"/>
                <w:sz w:val="24"/>
              </w:rPr>
              <w:t xml:space="preserve">143</w:t>
            </w:r>
          </w:p>
        </w:tc>
        <w:tc>
          <w:tcPr/>
          <w:p>
            <w:pPr>
              <w:pStyle w:val="Compact"/>
              <w:spacing w:line="480" w:lineRule="auto"/>
              <w:jc w:val="right"/>
            </w:pPr>
            <w:r>
              <w:rPr>
                <w:rFonts w:ascii="Times New Roman" w:hAnsi="Times New Roman"/>
                <w:sz w:val="24"/>
              </w:rPr>
              <w:t xml:space="preserve">14%</w:t>
            </w:r>
          </w:p>
        </w:tc>
      </w:tr>
      <w:tr>
        <w:tc>
          <w:tcPr/>
          <w:p>
            <w:pPr>
              <w:pStyle w:val="Compact"/>
              <w:spacing w:line="480" w:lineRule="auto"/>
              <w:jc w:val="left"/>
            </w:pPr>
            <w:r>
              <w:rPr>
                <w:rFonts w:ascii="Times New Roman" w:hAnsi="Times New Roman"/>
                <w:i/>
                <w:iCs/>
                <w:sz w:val="24"/>
              </w:rPr>
              <w:t xml:space="preserve">grandpa</w:t>
            </w:r>
          </w:p>
        </w:tc>
        <w:tc>
          <w:tcPr/>
          <w:p>
            <w:pPr>
              <w:pStyle w:val="Compact"/>
              <w:spacing w:line="480" w:lineRule="auto"/>
              <w:jc w:val="right"/>
            </w:pPr>
            <w:r>
              <w:rPr>
                <w:rFonts w:ascii="Times New Roman" w:hAnsi="Times New Roman"/>
                <w:sz w:val="24"/>
              </w:rPr>
              <w:t xml:space="preserve">8</w:t>
            </w:r>
          </w:p>
        </w:tc>
        <w:tc>
          <w:tcPr/>
          <w:p>
            <w:pPr>
              <w:pStyle w:val="Compact"/>
              <w:spacing w:line="480" w:lineRule="auto"/>
              <w:jc w:val="right"/>
            </w:pPr>
            <w:r>
              <w:rPr>
                <w:rFonts w:ascii="Times New Roman" w:hAnsi="Times New Roman"/>
                <w:sz w:val="24"/>
              </w:rPr>
              <w:t xml:space="preserve">72</w:t>
            </w:r>
          </w:p>
        </w:tc>
        <w:tc>
          <w:tcPr/>
          <w:p>
            <w:pPr>
              <w:pStyle w:val="Compact"/>
              <w:spacing w:line="480" w:lineRule="auto"/>
              <w:jc w:val="right"/>
            </w:pPr>
            <w:r>
              <w:rPr>
                <w:rFonts w:ascii="Times New Roman" w:hAnsi="Times New Roman"/>
                <w:sz w:val="24"/>
              </w:rPr>
              <w:t xml:space="preserve">10%</w:t>
            </w:r>
          </w:p>
        </w:tc>
      </w:tr>
      <w:tr>
        <w:tc>
          <w:tcPr/>
          <w:p>
            <w:pPr>
              <w:pStyle w:val="Compact"/>
              <w:spacing w:line="480" w:lineRule="auto"/>
              <w:jc w:val="left"/>
            </w:pPr>
            <w:r>
              <w:rPr>
                <w:rFonts w:ascii="Times New Roman" w:hAnsi="Times New Roman"/>
                <w:i/>
                <w:iCs/>
                <w:sz w:val="24"/>
              </w:rPr>
              <w:t xml:space="preserve">aunt</w:t>
            </w:r>
          </w:p>
        </w:tc>
        <w:tc>
          <w:tcPr/>
          <w:p>
            <w:pPr>
              <w:pStyle w:val="Compact"/>
              <w:spacing w:line="480" w:lineRule="auto"/>
              <w:jc w:val="right"/>
            </w:pPr>
            <w:r>
              <w:rPr>
                <w:rFonts w:ascii="Times New Roman" w:hAnsi="Times New Roman"/>
                <w:sz w:val="24"/>
              </w:rPr>
              <w:t xml:space="preserve">2</w:t>
            </w:r>
          </w:p>
        </w:tc>
        <w:tc>
          <w:tcPr/>
          <w:p>
            <w:pPr>
              <w:pStyle w:val="Compact"/>
              <w:spacing w:line="480" w:lineRule="auto"/>
              <w:jc w:val="right"/>
            </w:pPr>
            <w:r>
              <w:rPr>
                <w:rFonts w:ascii="Times New Roman" w:hAnsi="Times New Roman"/>
                <w:sz w:val="24"/>
              </w:rPr>
              <w:t xml:space="preserve">55</w:t>
            </w:r>
          </w:p>
        </w:tc>
        <w:tc>
          <w:tcPr/>
          <w:p>
            <w:pPr>
              <w:pStyle w:val="Compact"/>
              <w:spacing w:line="480" w:lineRule="auto"/>
              <w:jc w:val="right"/>
            </w:pPr>
            <w:r>
              <w:rPr>
                <w:rFonts w:ascii="Times New Roman" w:hAnsi="Times New Roman"/>
                <w:sz w:val="24"/>
              </w:rPr>
              <w:t xml:space="preserve">4%</w:t>
            </w:r>
          </w:p>
        </w:tc>
      </w:tr>
      <w:tr>
        <w:tc>
          <w:tcPr/>
          <w:p>
            <w:pPr>
              <w:pStyle w:val="Compact"/>
              <w:spacing w:line="480" w:lineRule="auto"/>
              <w:jc w:val="left"/>
            </w:pPr>
            <w:r>
              <w:rPr>
                <w:rFonts w:ascii="Times New Roman" w:hAnsi="Times New Roman"/>
                <w:i/>
                <w:iCs/>
                <w:sz w:val="24"/>
              </w:rPr>
              <w:t xml:space="preserve">uncle</w:t>
            </w:r>
          </w:p>
        </w:tc>
        <w:tc>
          <w:tcPr/>
          <w:p>
            <w:pPr>
              <w:pStyle w:val="Compact"/>
              <w:spacing w:line="480" w:lineRule="auto"/>
              <w:jc w:val="right"/>
            </w:pPr>
            <w:r>
              <w:rPr>
                <w:rFonts w:ascii="Times New Roman" w:hAnsi="Times New Roman"/>
                <w:sz w:val="24"/>
              </w:rPr>
              <w:t xml:space="preserve">4</w:t>
            </w:r>
          </w:p>
        </w:tc>
        <w:tc>
          <w:tcPr/>
          <w:p>
            <w:pPr>
              <w:pStyle w:val="Compact"/>
              <w:spacing w:line="480" w:lineRule="auto"/>
              <w:jc w:val="right"/>
            </w:pPr>
            <w:r>
              <w:rPr>
                <w:rFonts w:ascii="Times New Roman" w:hAnsi="Times New Roman"/>
                <w:sz w:val="24"/>
              </w:rPr>
              <w:t xml:space="preserve">74</w:t>
            </w:r>
          </w:p>
        </w:tc>
        <w:tc>
          <w:tcPr/>
          <w:p>
            <w:pPr>
              <w:pStyle w:val="Compact"/>
              <w:spacing w:line="480" w:lineRule="auto"/>
              <w:jc w:val="right"/>
            </w:pPr>
            <w:r>
              <w:rPr>
                <w:rFonts w:ascii="Times New Roman" w:hAnsi="Times New Roman"/>
                <w:sz w:val="24"/>
              </w:rPr>
              <w:t xml:space="preserve">5%</w:t>
            </w:r>
          </w:p>
        </w:tc>
      </w:tr>
      <w:tr>
        <w:tc>
          <w:tcPr/>
          <w:p>
            <w:pPr>
              <w:pStyle w:val="Compact"/>
              <w:spacing w:line="480" w:lineRule="auto"/>
              <w:jc w:val="left"/>
            </w:pPr>
            <w:r>
              <w:rPr>
                <w:rFonts w:ascii="Times New Roman" w:hAnsi="Times New Roman"/>
                <w:i/>
                <w:iCs/>
                <w:sz w:val="24"/>
              </w:rPr>
              <w:t xml:space="preserve">cousin</w:t>
            </w:r>
          </w:p>
        </w:tc>
        <w:tc>
          <w:tcPr/>
          <w:p>
            <w:pPr>
              <w:pStyle w:val="Compact"/>
              <w:spacing w:line="480" w:lineRule="auto"/>
              <w:jc w:val="right"/>
            </w:pPr>
            <w:r>
              <w:rPr>
                <w:rFonts w:ascii="Times New Roman" w:hAnsi="Times New Roman"/>
                <w:sz w:val="24"/>
              </w:rPr>
              <w:t xml:space="preserve">4</w:t>
            </w:r>
          </w:p>
        </w:tc>
        <w:tc>
          <w:tcPr/>
          <w:p>
            <w:pPr>
              <w:pStyle w:val="Compact"/>
              <w:spacing w:line="480" w:lineRule="auto"/>
              <w:jc w:val="right"/>
            </w:pPr>
            <w:r>
              <w:rPr>
                <w:rFonts w:ascii="Times New Roman" w:hAnsi="Times New Roman"/>
                <w:sz w:val="24"/>
              </w:rPr>
              <w:t xml:space="preserve">45</w:t>
            </w:r>
          </w:p>
        </w:tc>
        <w:tc>
          <w:tcPr/>
          <w:p>
            <w:pPr>
              <w:pStyle w:val="Compact"/>
              <w:spacing w:line="480" w:lineRule="auto"/>
              <w:jc w:val="right"/>
            </w:pPr>
            <w:r>
              <w:rPr>
                <w:rFonts w:ascii="Times New Roman" w:hAnsi="Times New Roman"/>
                <w:sz w:val="24"/>
              </w:rPr>
              <w:t xml:space="preserve">7%</w:t>
            </w:r>
          </w:p>
        </w:tc>
      </w:tr>
      <w:tr>
        <w:tc>
          <w:tcPr/>
          <w:p>
            <w:pPr>
              <w:pStyle w:val="Compact"/>
              <w:spacing w:line="480" w:lineRule="auto"/>
              <w:jc w:val="left"/>
            </w:pPr>
            <w:r>
              <w:rPr>
                <w:rFonts w:ascii="Times New Roman" w:hAnsi="Times New Roman"/>
                <w:i/>
                <w:iCs/>
                <w:sz w:val="24"/>
              </w:rPr>
              <w:t xml:space="preserve">brother</w:t>
            </w:r>
          </w:p>
        </w:tc>
        <w:tc>
          <w:tcPr/>
          <w:p>
            <w:pPr>
              <w:pStyle w:val="Compact"/>
              <w:spacing w:line="480" w:lineRule="auto"/>
              <w:jc w:val="right"/>
            </w:pPr>
            <w:r>
              <w:rPr>
                <w:rFonts w:ascii="Times New Roman" w:hAnsi="Times New Roman"/>
                <w:sz w:val="24"/>
              </w:rPr>
              <w:t xml:space="preserve">14</w:t>
            </w:r>
          </w:p>
        </w:tc>
        <w:tc>
          <w:tcPr/>
          <w:p>
            <w:pPr>
              <w:pStyle w:val="Compact"/>
              <w:spacing w:line="480" w:lineRule="auto"/>
              <w:jc w:val="right"/>
            </w:pPr>
            <w:r>
              <w:rPr>
                <w:rFonts w:ascii="Times New Roman" w:hAnsi="Times New Roman"/>
                <w:sz w:val="24"/>
              </w:rPr>
              <w:t xml:space="preserve">207</w:t>
            </w:r>
          </w:p>
        </w:tc>
        <w:tc>
          <w:tcPr/>
          <w:p>
            <w:pPr>
              <w:pStyle w:val="Compact"/>
              <w:spacing w:line="480" w:lineRule="auto"/>
              <w:jc w:val="right"/>
            </w:pPr>
            <w:r>
              <w:rPr>
                <w:rFonts w:ascii="Times New Roman" w:hAnsi="Times New Roman"/>
                <w:sz w:val="24"/>
              </w:rPr>
              <w:t xml:space="preserve">6%</w:t>
            </w:r>
          </w:p>
        </w:tc>
      </w:tr>
      <w:tr>
        <w:tc>
          <w:tcPr/>
          <w:p>
            <w:pPr>
              <w:pStyle w:val="Compact"/>
              <w:spacing w:line="480" w:lineRule="auto"/>
              <w:jc w:val="left"/>
            </w:pPr>
            <w:r>
              <w:rPr>
                <w:rFonts w:ascii="Times New Roman" w:hAnsi="Times New Roman"/>
                <w:i/>
                <w:iCs/>
                <w:sz w:val="24"/>
              </w:rPr>
              <w:t xml:space="preserve">sister</w:t>
            </w:r>
          </w:p>
        </w:tc>
        <w:tc>
          <w:tcPr/>
          <w:p>
            <w:pPr>
              <w:pStyle w:val="Compact"/>
              <w:spacing w:line="480" w:lineRule="auto"/>
              <w:jc w:val="right"/>
            </w:pPr>
            <w:r>
              <w:rPr>
                <w:rFonts w:ascii="Times New Roman" w:hAnsi="Times New Roman"/>
                <w:sz w:val="24"/>
              </w:rPr>
              <w:t xml:space="preserve">14</w:t>
            </w:r>
          </w:p>
        </w:tc>
        <w:tc>
          <w:tcPr/>
          <w:p>
            <w:pPr>
              <w:pStyle w:val="Compact"/>
              <w:spacing w:line="480" w:lineRule="auto"/>
              <w:jc w:val="right"/>
            </w:pPr>
            <w:r>
              <w:rPr>
                <w:rFonts w:ascii="Times New Roman" w:hAnsi="Times New Roman"/>
                <w:sz w:val="24"/>
              </w:rPr>
              <w:t xml:space="preserve">241</w:t>
            </w:r>
          </w:p>
        </w:tc>
        <w:tc>
          <w:tcPr/>
          <w:p>
            <w:pPr>
              <w:pStyle w:val="Compact"/>
              <w:spacing w:line="480" w:lineRule="auto"/>
              <w:jc w:val="right"/>
            </w:pPr>
            <w:r>
              <w:rPr>
                <w:rFonts w:ascii="Times New Roman" w:hAnsi="Times New Roman"/>
                <w:sz w:val="24"/>
              </w:rPr>
              <w:t xml:space="preserve">5%</w:t>
            </w:r>
          </w:p>
        </w:tc>
      </w:tr>
    </w:tbl>
    <w:bookmarkEnd w:id="23"/>
    <w:p>
      <w:pPr>
        <w:pStyle w:val="BodyText"/>
        <w:spacing w:line="480" w:lineRule="auto"/>
        <w:ind w:firstLine="720"/>
      </w:pPr>
      <w:r>
        <w:rPr>
          <w:rFonts w:ascii="Times New Roman" w:hAnsi="Times New Roman"/>
          <w:sz w:val="24"/>
        </w:rPr>
        <w:t xml:space="preserve">Because vocative detection is heuristic, I checked how often it gets things right. I manually coded a balanced sample – 50 predicted vocatives and 50 predicted arguments for parent terms, and the same for extended terms – and Table </w:t>
      </w:r>
      <w:hyperlink w:anchor="tab:childes-qc">
        <w:r>
          <w:rPr>
            <w:rStyle w:val="Hyperlink"/>
          </w:rPr>
          <w:t xml:space="preserve">3</w:t>
        </w:r>
      </w:hyperlink>
      <w:r>
        <w:rPr>
          <w:rFonts w:ascii="Times New Roman" w:hAnsi="Times New Roman"/>
          <w:sz w:val="24"/>
        </w:rPr>
        <w:t xml:space="preserve"> </w:t>
      </w:r>
      <w:r>
        <w:rPr>
          <w:rFonts w:ascii="Times New Roman" w:hAnsi="Times New Roman"/>
          <w:sz w:val="24"/>
        </w:rPr>
        <w:t xml:space="preserve">reports the results. The two ambiguous extended cases were coded as vocative, a conservative choice that</w:t>
      </w:r>
      <w:r>
        <w:rPr>
          <w:rFonts w:ascii="Times New Roman" w:hAnsi="Times New Roman"/>
          <w:sz w:val="24"/>
        </w:rPr>
        <w:t xml:space="preserve"> </w:t>
      </w:r>
      <w:r>
        <w:rPr>
          <w:rFonts w:ascii="Times New Roman" w:hAnsi="Times New Roman"/>
          <w:i/>
          <w:iCs/>
          <w:sz w:val="24"/>
        </w:rPr>
        <w:t xml:space="preserve">reduces</w:t>
      </w:r>
      <w:r>
        <w:rPr>
          <w:rFonts w:ascii="Times New Roman" w:hAnsi="Times New Roman"/>
          <w:sz w:val="24"/>
        </w:rPr>
        <w:t xml:space="preserve"> </w:t>
      </w:r>
      <w:r>
        <w:rPr>
          <w:rFonts w:ascii="Times New Roman" w:hAnsi="Times New Roman"/>
          <w:sz w:val="24"/>
        </w:rPr>
        <w:t xml:space="preserve">the parent/extended contrast. For parent terms, the heuristic is quite accurate: almost all predicted vocatives really are vocatives. For extended terms, it is noisier: 30% of predicted vocatives turned out to be true arguments, primarily because extended kin terms appear comma-adjacent in appositive constructions (</w:t>
      </w:r>
      <w:r>
        <w:rPr>
          <w:rFonts w:ascii="Times New Roman" w:hAnsi="Times New Roman"/>
          <w:i/>
          <w:iCs/>
          <w:sz w:val="24"/>
        </w:rPr>
        <w:t xml:space="preserve">my aunt, Sarah</w:t>
      </w:r>
      <w:r>
        <w:rPr>
          <w:rFonts w:ascii="Times New Roman" w:hAnsi="Times New Roman"/>
          <w:sz w:val="24"/>
        </w:rPr>
        <w:t xml:space="preserve">) rather than vocative function. To correct for these errors, I used a Bayesian measurement-error model. The idea is simple: if we know how often the heuristic mislabels vocatives and arguments (its</w:t>
      </w:r>
      <w:r>
        <w:rPr>
          <w:rFonts w:ascii="Times New Roman" w:hAnsi="Times New Roman"/>
          <w:sz w:val="24"/>
        </w:rPr>
        <w:t xml:space="preserve"> </w:t>
      </w:r>
      <w:r>
        <w:rPr>
          <w:rFonts w:ascii="Times New Roman" w:hAnsi="Times New Roman"/>
          <w:smallCaps/>
          <w:sz w:val="24"/>
        </w:rPr>
        <w:t xml:space="preserve">positive predictive value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mallCaps/>
          <w:sz w:val="24"/>
        </w:rPr>
        <w:t xml:space="preserve">false omission rate</w:t>
      </w:r>
      <w:r>
        <w:rPr>
          <w:rFonts w:ascii="Times New Roman" w:hAnsi="Times New Roman"/>
          <w:sz w:val="24"/>
        </w:rPr>
        <w:t xml:space="preserve">), we can estimate what the true vocative rates would be without measurement error. Uncertainty in the error rates flows through to uncertainty in the corrected estimates, reported below as 95% credible intervals (the Bayesian analogue of confidence intervals). Here and below,</w:t>
      </w:r>
      <w:r>
        <w:rPr>
          <w:rFonts w:ascii="Times New Roman" w:hAnsi="Times New Roman"/>
          <w:sz w:val="24"/>
        </w:rPr>
        <w:t xml:space="preserve"> </w:t>
      </w:r>
      <w:r>
        <w:rPr>
          <w:rFonts w:ascii="Times New Roman" w:hAnsi="Times New Roman"/>
          <w:sz w:val="24"/>
        </w:rPr>
        <w:t xml:space="preserve">“parent vocative rate”</w:t>
      </w:r>
      <w:r>
        <w:rPr>
          <w:rFonts w:ascii="Times New Roman" w:hAnsi="Times New Roman"/>
          <w:sz w:val="24"/>
        </w:rPr>
        <w:t xml:space="preserve"> </w:t>
      </w:r>
      <w:r>
        <w:rPr>
          <w:rFonts w:ascii="Times New Roman" w:hAnsi="Times New Roman"/>
          <w:sz w:val="24"/>
        </w:rPr>
        <w:t xml:space="preserve">refers to the corrected category-level rate, computed across all parent-term tokens from child speakers (*CHI tiers). The corrected estimates imply a parent vocative rate of 41% [32–51] – roughly seven times the extended-family rate of 6.2% [4.0–11.0].</w:t>
      </w:r>
    </w:p>
    <w:p>
      <w:pPr>
        <w:pStyle w:val="BodyText"/>
        <w:spacing w:line="480" w:lineRule="auto"/>
        <w:ind w:firstLine="720"/>
      </w:pPr>
      <w:r>
        <w:rPr>
          <w:rFonts w:ascii="Times New Roman" w:hAnsi="Times New Roman"/>
          <w:sz w:val="24"/>
        </w:rPr>
        <w:t xml:space="preserve">Figure </w:t>
      </w:r>
      <w:hyperlink w:anchor="fig:childes-sensitivity">
        <w:r>
          <w:rPr>
            <w:rStyle w:val="Hyperlink"/>
          </w:rPr>
          <w:t xml:space="preserve">1</w:t>
        </w:r>
      </w:hyperlink>
      <w:r>
        <w:rPr>
          <w:rFonts w:ascii="Times New Roman" w:hAnsi="Times New Roman"/>
          <w:sz w:val="24"/>
        </w:rPr>
        <w:t xml:space="preserve"> </w:t>
      </w:r>
      <w:r>
        <w:rPr>
          <w:rFonts w:ascii="Times New Roman" w:hAnsi="Times New Roman"/>
          <w:sz w:val="24"/>
        </w:rPr>
        <w:t xml:space="preserve">shows that the parent/extended contrast persists across alternative heuristic definitions. I compared the default heuristic (comma-adjacency or standalone utterance) against a</w:t>
      </w:r>
      <w:r>
        <w:rPr>
          <w:rFonts w:ascii="Times New Roman" w:hAnsi="Times New Roman"/>
          <w:sz w:val="24"/>
        </w:rPr>
        <w:t xml:space="preserve"> </w:t>
      </w:r>
      <w:r>
        <w:rPr>
          <w:rFonts w:ascii="Times New Roman" w:hAnsi="Times New Roman"/>
          <w:i/>
          <w:iCs/>
          <w:sz w:val="24"/>
        </w:rPr>
        <w:t xml:space="preserve">strict</w:t>
      </w:r>
      <w:r>
        <w:rPr>
          <w:rFonts w:ascii="Times New Roman" w:hAnsi="Times New Roman"/>
          <w:sz w:val="24"/>
        </w:rPr>
        <w:t xml:space="preserve"> </w:t>
      </w:r>
      <w:r>
        <w:rPr>
          <w:rFonts w:ascii="Times New Roman" w:hAnsi="Times New Roman"/>
          <w:sz w:val="24"/>
        </w:rPr>
        <w:t xml:space="preserve">variant (comma-adjacency only) and a</w:t>
      </w:r>
      <w:r>
        <w:rPr>
          <w:rFonts w:ascii="Times New Roman" w:hAnsi="Times New Roman"/>
          <w:sz w:val="24"/>
        </w:rPr>
        <w:t xml:space="preserve"> </w:t>
      </w:r>
      <w:r>
        <w:rPr>
          <w:rFonts w:ascii="Times New Roman" w:hAnsi="Times New Roman"/>
          <w:i/>
          <w:iCs/>
          <w:sz w:val="24"/>
        </w:rPr>
        <w:t xml:space="preserve">loose</w:t>
      </w:r>
      <w:r>
        <w:rPr>
          <w:rFonts w:ascii="Times New Roman" w:hAnsi="Times New Roman"/>
          <w:sz w:val="24"/>
        </w:rPr>
        <w:t xml:space="preserve"> </w:t>
      </w:r>
      <w:r>
        <w:rPr>
          <w:rFonts w:ascii="Times New Roman" w:hAnsi="Times New Roman"/>
          <w:sz w:val="24"/>
        </w:rPr>
        <w:t xml:space="preserve">variant (adding all utterance-initial kinship terms). Under all three definitions, the core asymmetry remains robust. A further conservative element: vocative counts for extended and grandparent terms include title+name vocatives (</w:t>
      </w:r>
      <w:r>
        <w:rPr>
          <w:rFonts w:ascii="Times New Roman" w:hAnsi="Times New Roman"/>
          <w:i/>
          <w:iCs/>
          <w:sz w:val="24"/>
        </w:rPr>
        <w:t xml:space="preserve">Grandma Peggy, come here</w:t>
      </w:r>
      <w:r>
        <w:rPr>
          <w:rFonts w:ascii="Times New Roman" w:hAnsi="Times New Roman"/>
          <w:sz w:val="24"/>
        </w:rPr>
        <w:t xml:space="preserve">) alongside standalone address (</w:t>
      </w:r>
      <w:r>
        <w:rPr>
          <w:rFonts w:ascii="Times New Roman" w:hAnsi="Times New Roman"/>
          <w:i/>
          <w:iCs/>
          <w:sz w:val="24"/>
        </w:rPr>
        <w:t xml:space="preserve">Grandma, come here</w:t>
      </w:r>
      <w:r>
        <w:rPr>
          <w:rFonts w:ascii="Times New Roman" w:hAnsi="Times New Roman"/>
          <w:sz w:val="24"/>
        </w:rPr>
        <w:t xml:space="preserve">). Both are address uses contributing to name-position exposure, but because parent terms never appear in title+name constructions, the parent/extended contrast is conservative with respect to this conflation.</w:t>
      </w:r>
    </w:p>
    <w:bookmarkStart w:id="24" w:name="tab:childes-qc"/>
    <w:p>
      <w:pPr>
        <w:pStyle w:val="TableCaption"/>
        <w:spacing w:line="480" w:lineRule="auto"/>
      </w:pPr>
      <w:r>
        <w:rPr>
          <w:rFonts w:ascii="Times New Roman" w:hAnsi="Times New Roman"/>
          <w:sz w:val="24"/>
        </w:rPr>
        <w:t>Table 3: Manual check of the vocative heuristic (stratified sample; ambiguous extended cases counted as vocative).</w:t>
      </w:r>
    </w:p>
    <w:tbl>
      <w:tblPr>
        <w:tblStyle w:val="Table"/>
        <w:tblW w:type="auto" w:w="0"/>
        <w:tblLook w:firstRow="1" w:lastRow="0" w:firstColumn="0" w:lastColumn="0" w:noHBand="0" w:noVBand="0" w:val="0020"/>
        <w:tblCaption w:val="Manual check of the vocative heuristic (stratified sample; ambiguous extended cases counted as vocative)."/>
      </w:tblPr>
      <w:tblGrid>
        <w:gridCol w:w="1584"/>
        <w:gridCol w:w="1584"/>
        <w:gridCol w:w="1584"/>
        <w:gridCol w:w="1584"/>
        <w:gridCol w:w="1584"/>
      </w:tblGrid>
      <w:tr>
        <w:trPr>
          <w:tblHeader w:val="on"/>
        </w:trPr>
        <w:tc>
          <w:tcPr/>
          <w:p>
            <w:pPr>
              <w:pStyle w:val="Compact"/>
              <w:spacing w:line="480" w:lineRule="auto"/>
              <w:jc w:val="left"/>
            </w:pPr>
            <w:r>
              <w:rPr>
                <w:rFonts w:ascii="Times New Roman" w:hAnsi="Times New Roman"/>
                <w:sz w:val="24"/>
              </w:rPr>
              <w:t xml:space="preserve">Category</w:t>
            </w:r>
          </w:p>
        </w:tc>
        <w:tc>
          <w:tcPr/>
          <w:p>
            <w:pPr>
              <w:pStyle w:val="Compact"/>
              <w:spacing w:line="480" w:lineRule="auto"/>
              <w:jc w:val="left"/>
            </w:pPr>
            <w:r>
              <w:rPr>
                <w:rFonts w:ascii="Times New Roman" w:hAnsi="Times New Roman"/>
                <w:sz w:val="24"/>
              </w:rPr>
              <w:t xml:space="preserve">Predicted label</w:t>
            </w:r>
          </w:p>
        </w:tc>
        <w:tc>
          <w:tcPr/>
          <w:p>
            <w:pPr>
              <w:pStyle w:val="Compact"/>
              <w:spacing w:line="480" w:lineRule="auto"/>
              <w:jc w:val="center"/>
            </w:pPr>
            <w:r>
              <w:rPr>
                <w:rFonts w:ascii="Times New Roman" w:hAnsi="Times New Roman"/>
                <w:sz w:val="24"/>
              </w:rPr>
              <w:t xml:space="preserve">True vocative</w:t>
            </w:r>
          </w:p>
        </w:tc>
        <w:tc>
          <w:tcPr/>
          <w:p>
            <w:pPr>
              <w:pStyle w:val="Compact"/>
              <w:spacing w:line="480" w:lineRule="auto"/>
              <w:jc w:val="center"/>
            </w:pPr>
            <w:r>
              <w:rPr>
                <w:rFonts w:ascii="Times New Roman" w:hAnsi="Times New Roman"/>
                <w:sz w:val="24"/>
              </w:rPr>
              <w:t xml:space="preserve">True argument</w:t>
            </w:r>
          </w:p>
        </w:tc>
        <w:tc>
          <w:tcPr/>
          <w:p>
            <w:pPr>
              <w:pStyle w:val="Compact"/>
              <w:spacing w:line="480" w:lineRule="auto"/>
              <w:jc w:val="right"/>
            </w:pPr>
            <w:r>
              <w:rPr>
                <w:rFonts w:ascii="Times New Roman" w:hAnsi="Times New Roman"/>
                <w:sz w:val="24"/>
              </w:rPr>
              <w:t xml:space="preserve">Total</w:t>
            </w:r>
          </w:p>
        </w:tc>
      </w:tr>
      <w:tr>
        <w:tc>
          <w:tcPr/>
          <w:p>
            <w:pPr>
              <w:pStyle w:val="Compact"/>
              <w:spacing w:line="480" w:lineRule="auto"/>
              <w:jc w:val="left"/>
            </w:pPr>
            <w:r>
              <w:rPr>
                <w:rFonts w:ascii="Times New Roman" w:hAnsi="Times New Roman"/>
                <w:sz w:val="24"/>
              </w:rPr>
              <w:t xml:space="preserve">Parent</w:t>
            </w:r>
          </w:p>
        </w:tc>
        <w:tc>
          <w:tcPr/>
          <w:p>
            <w:pPr>
              <w:pStyle w:val="Compact"/>
              <w:spacing w:line="480" w:lineRule="auto"/>
              <w:jc w:val="left"/>
            </w:pPr>
            <w:r>
              <w:rPr>
                <w:rFonts w:ascii="Times New Roman" w:hAnsi="Times New Roman"/>
                <w:sz w:val="24"/>
              </w:rPr>
              <w:t xml:space="preserve">Vocative</w:t>
            </w:r>
          </w:p>
        </w:tc>
        <w:tc>
          <w:tcPr/>
          <w:p>
            <w:pPr>
              <w:pStyle w:val="Compact"/>
              <w:spacing w:line="480" w:lineRule="auto"/>
              <w:jc w:val="right"/>
            </w:pPr>
            <w:r>
              <w:rPr>
                <w:rFonts w:ascii="Times New Roman" w:hAnsi="Times New Roman"/>
                <w:sz w:val="24"/>
              </w:rPr>
              <w:t xml:space="preserve">49</w:t>
            </w:r>
          </w:p>
        </w:tc>
        <w:tc>
          <w:tcPr/>
          <w:p>
            <w:pPr>
              <w:pStyle w:val="Compact"/>
              <w:spacing w:line="480" w:lineRule="auto"/>
              <w:jc w:val="right"/>
            </w:pPr>
            <w:r>
              <w:rPr>
                <w:rFonts w:ascii="Times New Roman" w:hAnsi="Times New Roman"/>
                <w:sz w:val="24"/>
              </w:rPr>
              <w:t xml:space="preserve">1</w:t>
            </w:r>
          </w:p>
        </w:tc>
        <w:tc>
          <w:tcPr/>
          <w:p>
            <w:pPr>
              <w:pStyle w:val="Compact"/>
              <w:spacing w:line="480" w:lineRule="auto"/>
              <w:jc w:val="right"/>
            </w:pPr>
            <w:r>
              <w:rPr>
                <w:rFonts w:ascii="Times New Roman" w:hAnsi="Times New Roman"/>
                <w:sz w:val="24"/>
              </w:rPr>
              <w:t xml:space="preserve">50</w:t>
            </w:r>
          </w:p>
        </w:tc>
      </w:tr>
      <w:tr>
        <w:tc>
          <w:tcPr/>
          <w:p>
            <w:pPr>
              <w:pStyle w:val="Compact"/>
              <w:spacing w:line="480" w:lineRule="auto"/>
              <w:jc w:val="left"/>
            </w:pPr>
            <w:r>
              <w:rPr>
                <w:rFonts w:ascii="Times New Roman" w:hAnsi="Times New Roman"/>
                <w:sz w:val="24"/>
              </w:rPr>
              <w:t xml:space="preserve">Parent</w:t>
            </w:r>
          </w:p>
        </w:tc>
        <w:tc>
          <w:tcPr/>
          <w:p>
            <w:pPr>
              <w:pStyle w:val="Compact"/>
              <w:spacing w:line="480" w:lineRule="auto"/>
              <w:jc w:val="left"/>
            </w:pPr>
            <w:r>
              <w:rPr>
                <w:rFonts w:ascii="Times New Roman" w:hAnsi="Times New Roman"/>
                <w:sz w:val="24"/>
              </w:rPr>
              <w:t xml:space="preserve">Argument</w:t>
            </w:r>
          </w:p>
        </w:tc>
        <w:tc>
          <w:tcPr/>
          <w:p>
            <w:pPr>
              <w:pStyle w:val="Compact"/>
              <w:spacing w:line="480" w:lineRule="auto"/>
              <w:jc w:val="right"/>
            </w:pPr>
            <w:r>
              <w:rPr>
                <w:rFonts w:ascii="Times New Roman" w:hAnsi="Times New Roman"/>
                <w:sz w:val="24"/>
              </w:rPr>
              <w:t xml:space="preserve">13</w:t>
            </w:r>
          </w:p>
        </w:tc>
        <w:tc>
          <w:tcPr/>
          <w:p>
            <w:pPr>
              <w:pStyle w:val="Compact"/>
              <w:spacing w:line="480" w:lineRule="auto"/>
              <w:jc w:val="right"/>
            </w:pPr>
            <w:r>
              <w:rPr>
                <w:rFonts w:ascii="Times New Roman" w:hAnsi="Times New Roman"/>
                <w:sz w:val="24"/>
              </w:rPr>
              <w:t xml:space="preserve">37</w:t>
            </w:r>
          </w:p>
        </w:tc>
        <w:tc>
          <w:tcPr/>
          <w:p>
            <w:pPr>
              <w:pStyle w:val="Compact"/>
              <w:spacing w:line="480" w:lineRule="auto"/>
              <w:jc w:val="right"/>
            </w:pPr>
            <w:r>
              <w:rPr>
                <w:rFonts w:ascii="Times New Roman" w:hAnsi="Times New Roman"/>
                <w:sz w:val="24"/>
              </w:rPr>
              <w:t xml:space="preserve">50</w:t>
            </w:r>
          </w:p>
        </w:tc>
      </w:tr>
      <w:tr>
        <w:tc>
          <w:tcPr/>
          <w:p>
            <w:pPr>
              <w:pStyle w:val="Compact"/>
              <w:spacing w:line="480" w:lineRule="auto"/>
              <w:jc w:val="left"/>
            </w:pPr>
            <w:r>
              <w:rPr>
                <w:rFonts w:ascii="Times New Roman" w:hAnsi="Times New Roman"/>
                <w:sz w:val="24"/>
              </w:rPr>
              <w:t xml:space="preserve">Extended</w:t>
            </w:r>
          </w:p>
        </w:tc>
        <w:tc>
          <w:tcPr/>
          <w:p>
            <w:pPr>
              <w:pStyle w:val="Compact"/>
              <w:spacing w:line="480" w:lineRule="auto"/>
              <w:jc w:val="left"/>
            </w:pPr>
            <w:r>
              <w:rPr>
                <w:rFonts w:ascii="Times New Roman" w:hAnsi="Times New Roman"/>
                <w:sz w:val="24"/>
              </w:rPr>
              <w:t xml:space="preserve">Vocative</w:t>
            </w:r>
          </w:p>
        </w:tc>
        <w:tc>
          <w:tcPr/>
          <w:p>
            <w:pPr>
              <w:pStyle w:val="Compact"/>
              <w:spacing w:line="480" w:lineRule="auto"/>
              <w:jc w:val="right"/>
            </w:pPr>
            <w:r>
              <w:rPr>
                <w:rFonts w:ascii="Times New Roman" w:hAnsi="Times New Roman"/>
                <w:sz w:val="24"/>
              </w:rPr>
              <w:t xml:space="preserve">35</w:t>
            </w:r>
          </w:p>
        </w:tc>
        <w:tc>
          <w:tcPr/>
          <w:p>
            <w:pPr>
              <w:pStyle w:val="Compact"/>
              <w:spacing w:line="480" w:lineRule="auto"/>
              <w:jc w:val="right"/>
            </w:pPr>
            <w:r>
              <w:rPr>
                <w:rFonts w:ascii="Times New Roman" w:hAnsi="Times New Roman"/>
                <w:sz w:val="24"/>
              </w:rPr>
              <w:t xml:space="preserve">15</w:t>
            </w:r>
          </w:p>
        </w:tc>
        <w:tc>
          <w:tcPr/>
          <w:p>
            <w:pPr>
              <w:pStyle w:val="Compact"/>
              <w:spacing w:line="480" w:lineRule="auto"/>
              <w:jc w:val="right"/>
            </w:pPr>
            <w:r>
              <w:rPr>
                <w:rFonts w:ascii="Times New Roman" w:hAnsi="Times New Roman"/>
                <w:sz w:val="24"/>
              </w:rPr>
              <w:t xml:space="preserve">50</w:t>
            </w:r>
          </w:p>
        </w:tc>
      </w:tr>
      <w:tr>
        <w:tc>
          <w:tcPr/>
          <w:p>
            <w:pPr>
              <w:pStyle w:val="Compact"/>
              <w:spacing w:line="480" w:lineRule="auto"/>
              <w:jc w:val="left"/>
            </w:pPr>
            <w:r>
              <w:rPr>
                <w:rFonts w:ascii="Times New Roman" w:hAnsi="Times New Roman"/>
                <w:sz w:val="24"/>
              </w:rPr>
              <w:t xml:space="preserve">Extended</w:t>
            </w:r>
          </w:p>
        </w:tc>
        <w:tc>
          <w:tcPr/>
          <w:p>
            <w:pPr>
              <w:pStyle w:val="Compact"/>
              <w:spacing w:line="480" w:lineRule="auto"/>
              <w:jc w:val="left"/>
            </w:pPr>
            <w:r>
              <w:rPr>
                <w:rFonts w:ascii="Times New Roman" w:hAnsi="Times New Roman"/>
                <w:sz w:val="24"/>
              </w:rPr>
              <w:t xml:space="preserve">Argument</w:t>
            </w:r>
          </w:p>
        </w:tc>
        <w:tc>
          <w:tcPr/>
          <w:p>
            <w:pPr>
              <w:pStyle w:val="Compact"/>
              <w:spacing w:line="480" w:lineRule="auto"/>
              <w:jc w:val="right"/>
            </w:pPr>
            <w:r>
              <w:rPr>
                <w:rFonts w:ascii="Times New Roman" w:hAnsi="Times New Roman"/>
                <w:sz w:val="24"/>
              </w:rPr>
              <w:t xml:space="preserve">0</w:t>
            </w:r>
          </w:p>
        </w:tc>
        <w:tc>
          <w:tcPr/>
          <w:p>
            <w:pPr>
              <w:pStyle w:val="Compact"/>
              <w:spacing w:line="480" w:lineRule="auto"/>
              <w:jc w:val="right"/>
            </w:pPr>
            <w:r>
              <w:rPr>
                <w:rFonts w:ascii="Times New Roman" w:hAnsi="Times New Roman"/>
                <w:sz w:val="24"/>
              </w:rPr>
              <w:t xml:space="preserve">50</w:t>
            </w:r>
          </w:p>
        </w:tc>
        <w:tc>
          <w:tcPr/>
          <w:p>
            <w:pPr>
              <w:pStyle w:val="Compact"/>
              <w:spacing w:line="480" w:lineRule="auto"/>
              <w:jc w:val="right"/>
            </w:pPr>
            <w:r>
              <w:rPr>
                <w:rFonts w:ascii="Times New Roman" w:hAnsi="Times New Roman"/>
                <w:sz w:val="24"/>
              </w:rPr>
              <w:t xml:space="preserve">50</w:t>
            </w:r>
          </w:p>
        </w:tc>
      </w:tr>
    </w:tbl>
    <w:bookmarkEnd w:id="24"/>
    <w:bookmarkStart w:id="28" w:name="fig:childes-sensitivity"/>
    <w:p>
      <w:pPr>
        <w:pStyle w:val="CaptionedFigure"/>
        <w:spacing w:line="480" w:lineRule="auto"/>
      </w:pPr>
      <w:r>
        <w:rPr>
          <w:rFonts w:ascii="Times New Roman" w:hAnsi="Times New Roman"/>
          <w:sz w:val="24"/>
        </w:rPr>
        <w:drawing>
          <wp:inline>
            <wp:extent cx="4000500" cy="2633240"/>
            <wp:effectExtent b="0" l="0" r="0" t="0"/>
            <wp:docPr descr="" title="" id="26" name="Picture"/>
            <a:graphic>
              <a:graphicData uri="http://schemas.openxmlformats.org/drawingml/2006/picture">
                <pic:pic>
                  <pic:nvPicPr>
                    <pic:cNvPr descr="childes/fig_sensitivity.pdf" id="27" name="Picture"/>
                    <pic:cNvPicPr>
                      <a:picLocks noChangeArrowheads="1" noChangeAspect="1"/>
                    </pic:cNvPicPr>
                  </pic:nvPicPr>
                  <pic:blipFill>
                    <a:blip r:embed="rId25"/>
                    <a:stretch>
                      <a:fillRect/>
                    </a:stretch>
                  </pic:blipFill>
                  <pic:spPr bwMode="auto">
                    <a:xfrm>
                      <a:off x="0" y="0"/>
                      <a:ext cx="4000500" cy="2633240"/>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Figure 1: Sensitivity of vocative rates to heuristic choice (strict = comma-adjacent only; default = comma-adjacent or stand-alone; loose = plus utterance-initial). Parent terms remain higher than extended terms under all variants.</w:t>
      </w:r>
    </w:p>
    <w:bookmarkEnd w:id="28"/>
    <w:p>
      <w:pPr>
        <w:pStyle w:val="BodyText"/>
        <w:spacing w:line="480" w:lineRule="auto"/>
        <w:ind w:firstLine="720"/>
      </w:pPr>
      <w:r>
        <w:rPr>
          <w:rFonts w:ascii="Times New Roman" w:hAnsi="Times New Roman"/>
          <w:sz w:val="24"/>
        </w:rPr>
        <w:t xml:space="preserve">Bare-argument use tracks vocative concentration. Bare arguments were defined as argument uses without overt determiners or genitive markers; title+name constructions (e.g.,</w:t>
      </w:r>
      <w:r>
        <w:rPr>
          <w:rFonts w:ascii="Times New Roman" w:hAnsi="Times New Roman"/>
          <w:sz w:val="24"/>
        </w:rPr>
        <w:t xml:space="preserve"> </w:t>
      </w:r>
      <w:r>
        <w:rPr>
          <w:rFonts w:ascii="Times New Roman" w:hAnsi="Times New Roman"/>
          <w:i/>
          <w:iCs/>
          <w:sz w:val="24"/>
        </w:rPr>
        <w:t xml:space="preserve">Auntie Sarah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Grandma Peggy</w:t>
      </w:r>
      <w:r>
        <w:rPr>
          <w:rFonts w:ascii="Times New Roman" w:hAnsi="Times New Roman"/>
          <w:sz w:val="24"/>
        </w:rPr>
        <w:t xml:space="preserve">) were identified using the %mor tier (CHILDES’s automatic part-of-speech annotation), which tags the following word as a proper noun, and excluded from bare-argument counts, since the proper noun is the syntactic head. This exclusion materially improved the correlation (from</w:t>
      </w:r>
      <w:r>
        <w:rPr>
          <w:rFonts w:ascii="Times New Roman" w:hAnsi="Times New Roman"/>
          <w:sz w:val="24"/>
        </w:rPr>
        <w:t xml:space="preserve"> </w:t>
      </w:r>
      <m:oMath>
        <m:r>
          <m:t>ρ</m:t>
        </m:r>
        <m:r>
          <m:rPr>
            <m:sty m:val="p"/>
          </m:rPr>
          <m:t>=</m:t>
        </m:r>
        <m:r>
          <m:t>0.38</m:t>
        </m:r>
      </m:oMath>
      <w:r>
        <w:rPr>
          <w:rFonts w:ascii="Times New Roman" w:hAnsi="Times New Roman"/>
          <w:sz w:val="24"/>
        </w:rPr>
        <w:t xml:space="preserve"> </w:t>
      </w:r>
      <w:r>
        <w:rPr>
          <w:rFonts w:ascii="Times New Roman" w:hAnsi="Times New Roman"/>
          <w:sz w:val="24"/>
        </w:rPr>
        <w:t xml:space="preserve">before exclusion) by removing a confound: title+name tokens inflate bare-argument counts for exactly the terms with lower vocative rates (grandparent and extended kin), flattening the gradient. Apostrophe-</w:t>
      </w:r>
      <w:r>
        <w:rPr>
          <w:rFonts w:ascii="Times New Roman" w:hAnsi="Times New Roman"/>
          <w:i/>
          <w:iCs/>
          <w:sz w:val="24"/>
        </w:rPr>
        <w:t xml:space="preserve">s</w:t>
      </w:r>
      <w:r>
        <w:rPr>
          <w:rFonts w:ascii="Times New Roman" w:hAnsi="Times New Roman"/>
          <w:sz w:val="24"/>
        </w:rPr>
        <w:t xml:space="preserve"> </w:t>
      </w:r>
      <w:r>
        <w:rPr>
          <w:rFonts w:ascii="Times New Roman" w:hAnsi="Times New Roman"/>
          <w:sz w:val="24"/>
        </w:rPr>
        <w:t xml:space="preserve">was treated as genitive only when immediately followed by a noun without copular/auxiliary continuation (e.g.,</w:t>
      </w:r>
      <w:r>
        <w:rPr>
          <w:rFonts w:ascii="Times New Roman" w:hAnsi="Times New Roman"/>
          <w:sz w:val="24"/>
        </w:rPr>
        <w:t xml:space="preserve"> </w:t>
      </w:r>
      <w:r>
        <w:rPr>
          <w:rFonts w:ascii="Times New Roman" w:hAnsi="Times New Roman"/>
          <w:i/>
          <w:iCs/>
          <w:sz w:val="24"/>
        </w:rPr>
        <w:t xml:space="preserve">mom’s car</w:t>
      </w:r>
      <w:r>
        <w:rPr>
          <w:rFonts w:ascii="Times New Roman" w:hAnsi="Times New Roman"/>
          <w:sz w:val="24"/>
        </w:rPr>
        <w:t xml:space="preserve">); all other contexts, including predicate adjectives (</w:t>
      </w:r>
      <w:r>
        <w:rPr>
          <w:rFonts w:ascii="Times New Roman" w:hAnsi="Times New Roman"/>
          <w:i/>
          <w:iCs/>
          <w:sz w:val="24"/>
        </w:rPr>
        <w:t xml:space="preserve">Mom’s mad</w:t>
      </w:r>
      <w:r>
        <w:rPr>
          <w:rFonts w:ascii="Times New Roman" w:hAnsi="Times New Roman"/>
          <w:sz w:val="24"/>
        </w:rPr>
        <w:t xml:space="preserve">), PPs (</w:t>
      </w:r>
      <w:r>
        <w:rPr>
          <w:rFonts w:ascii="Times New Roman" w:hAnsi="Times New Roman"/>
          <w:i/>
          <w:iCs/>
          <w:sz w:val="24"/>
        </w:rPr>
        <w:t xml:space="preserve">Mom’s in the kitchen</w:t>
      </w:r>
      <w:r>
        <w:rPr>
          <w:rFonts w:ascii="Times New Roman" w:hAnsi="Times New Roman"/>
          <w:sz w:val="24"/>
        </w:rPr>
        <w:t xml:space="preserve">), and copular NPs (</w:t>
      </w:r>
      <w:r>
        <w:rPr>
          <w:rFonts w:ascii="Times New Roman" w:hAnsi="Times New Roman"/>
          <w:i/>
          <w:iCs/>
          <w:sz w:val="24"/>
        </w:rPr>
        <w:t xml:space="preserve">Mom’s the boss</w:t>
      </w:r>
      <w:r>
        <w:rPr>
          <w:rFonts w:ascii="Times New Roman" w:hAnsi="Times New Roman"/>
          <w:sz w:val="24"/>
        </w:rPr>
        <w:t xml:space="preserve">), were treated as contractions and counted as bare arguments. Using terms with at least 50 argument tokens, vocative percentage correlates with bare-argument percentage (Spearman</w:t>
      </w:r>
      <w:r>
        <w:rPr>
          <w:rFonts w:ascii="Times New Roman" w:hAnsi="Times New Roman"/>
          <w:sz w:val="24"/>
        </w:rPr>
        <w:t xml:space="preserve"> </w:t>
      </w:r>
      <m:oMath>
        <m:r>
          <m:t>ρ</m:t>
        </m:r>
        <m:r>
          <m:rPr>
            <m:sty m:val="p"/>
          </m:rPr>
          <m:t>=</m:t>
        </m:r>
        <m:r>
          <m:t>0.73</m:t>
        </m:r>
      </m:oMath>
      <w:r>
        <w:rPr>
          <w:rFonts w:ascii="Times New Roman" w:hAnsi="Times New Roman"/>
          <w:sz w:val="24"/>
        </w:rPr>
        <w:t xml:space="preserve">;</w:t>
      </w:r>
      <w:r>
        <w:rPr>
          <w:rFonts w:ascii="Times New Roman" w:hAnsi="Times New Roman"/>
          <w:sz w:val="24"/>
        </w:rPr>
        <w:t xml:space="preserve"> </w:t>
      </w:r>
      <m:oMath>
        <m:r>
          <m:t>n</m:t>
        </m:r>
        <m:r>
          <m:rPr>
            <m:sty m:val="p"/>
          </m:rPr>
          <m:t>=</m:t>
        </m:r>
        <m:r>
          <m:t>30</m:t>
        </m:r>
      </m:oMath>
      <w:r>
        <w:rPr>
          <w:rFonts w:ascii="Times New Roman" w:hAnsi="Times New Roman"/>
          <w:sz w:val="24"/>
        </w:rPr>
        <w:t xml:space="preserve">). The 95% confidence interval [0.52, 0.85] was obtained by bootstrap resampling (drawing 10,000 random samples with replacement from the 30 terms and recomputing</w:t>
      </w:r>
      <w:r>
        <w:rPr>
          <w:rFonts w:ascii="Times New Roman" w:hAnsi="Times New Roman"/>
          <w:sz w:val="24"/>
        </w:rPr>
        <w:t xml:space="preserve"> </w:t>
      </w:r>
      <m:oMath>
        <m:r>
          <m:t>ρ</m:t>
        </m:r>
      </m:oMath>
      <w:r>
        <w:rPr>
          <w:rFonts w:ascii="Times New Roman" w:hAnsi="Times New Roman"/>
          <w:sz w:val="24"/>
        </w:rPr>
        <w:t xml:space="preserve"> </w:t>
      </w:r>
      <w:r>
        <w:rPr>
          <w:rFonts w:ascii="Times New Roman" w:hAnsi="Times New Roman"/>
          <w:sz w:val="24"/>
        </w:rPr>
        <w:t xml:space="preserve">each time). The result is stable across argument-count thresholds (</w:t>
      </w:r>
      <m:oMath>
        <m:r>
          <m:t>ρ</m:t>
        </m:r>
        <m:r>
          <m:rPr>
            <m:sty m:val="p"/>
          </m:rPr>
          <m:t>=</m:t>
        </m:r>
        <m:r>
          <m:t>0.63</m:t>
        </m:r>
      </m:oMath>
      <w:r>
        <w:rPr>
          <w:rFonts w:ascii="Times New Roman" w:hAnsi="Times New Roman"/>
          <w:sz w:val="24"/>
        </w:rPr>
        <w:t xml:space="preserve"> </w:t>
      </w:r>
      <w:r>
        <w:rPr>
          <w:rFonts w:ascii="Times New Roman" w:hAnsi="Times New Roman"/>
          <w:sz w:val="24"/>
        </w:rPr>
        <w:t xml:space="preserve">at</w:t>
      </w:r>
      <w:r>
        <w:rPr>
          <w:rFonts w:ascii="Times New Roman" w:hAnsi="Times New Roman"/>
          <w:sz w:val="24"/>
        </w:rPr>
        <w:t xml:space="preserve"> </w:t>
      </w:r>
      <m:oMath>
        <m:sSub>
          <m:e>
            <m:r>
              <m:t>n</m:t>
            </m:r>
          </m:e>
          <m:sub>
            <m:r>
              <m:rPr>
                <m:sty m:val="p"/>
              </m:rPr>
              <m:t>min</m:t>
            </m:r>
          </m:sub>
        </m:sSub>
        <m:r>
          <m:rPr>
            <m:sty m:val="p"/>
          </m:rPr>
          <m:t>=</m:t>
        </m:r>
        <m:r>
          <m:t>25</m:t>
        </m:r>
      </m:oMath>
      <w:r>
        <w:rPr>
          <w:rFonts w:ascii="Times New Roman" w:hAnsi="Times New Roman"/>
          <w:sz w:val="24"/>
        </w:rPr>
        <w:t xml:space="preserve">;</w:t>
      </w:r>
      <w:r>
        <w:rPr>
          <w:rFonts w:ascii="Times New Roman" w:hAnsi="Times New Roman"/>
          <w:sz w:val="24"/>
        </w:rPr>
        <w:t xml:space="preserve"> </w:t>
      </w:r>
      <m:oMath>
        <m:r>
          <m:t>ρ</m:t>
        </m:r>
        <m:r>
          <m:rPr>
            <m:sty m:val="p"/>
          </m:rPr>
          <m:t>=</m:t>
        </m:r>
        <m:r>
          <m:t>0.74</m:t>
        </m:r>
      </m:oMath>
      <w:r>
        <w:rPr>
          <w:rFonts w:ascii="Times New Roman" w:hAnsi="Times New Roman"/>
          <w:sz w:val="24"/>
        </w:rPr>
        <w:t xml:space="preserve"> </w:t>
      </w:r>
      <w:r>
        <w:rPr>
          <w:rFonts w:ascii="Times New Roman" w:hAnsi="Times New Roman"/>
          <w:sz w:val="24"/>
        </w:rPr>
        <w:t xml:space="preserve">at</w:t>
      </w:r>
      <w:r>
        <w:rPr>
          <w:rFonts w:ascii="Times New Roman" w:hAnsi="Times New Roman"/>
          <w:sz w:val="24"/>
        </w:rPr>
        <w:t xml:space="preserve"> </w:t>
      </w:r>
      <m:oMath>
        <m:sSub>
          <m:e>
            <m:r>
              <m:t>n</m:t>
            </m:r>
          </m:e>
          <m:sub>
            <m:r>
              <m:rPr>
                <m:sty m:val="p"/>
              </m:rPr>
              <m:t>min</m:t>
            </m:r>
          </m:sub>
        </m:sSub>
        <m:r>
          <m:rPr>
            <m:sty m:val="p"/>
          </m:rPr>
          <m:t>=</m:t>
        </m:r>
        <m:r>
          <m:t>100</m:t>
        </m:r>
      </m:oMath>
      <w:r>
        <w:rPr>
          <w:rFonts w:ascii="Times New Roman" w:hAnsi="Times New Roman"/>
          <w:sz w:val="24"/>
        </w:rPr>
        <w:t xml:space="preserve">). The between-group contrast (parent vs. extended) is the primary driver: when morphological variants are collapsed into family clusters (</w:t>
      </w:r>
      <w:r>
        <w:rPr>
          <w:rFonts w:ascii="Times New Roman" w:hAnsi="Times New Roman"/>
          <w:smallCaps/>
          <w:sz w:val="24"/>
        </w:rPr>
        <w:t xml:space="preserve">mom</w:t>
      </w:r>
      <w:r>
        <w:rPr>
          <w:rFonts w:ascii="Times New Roman" w:hAnsi="Times New Roman"/>
          <w:sz w:val="24"/>
        </w:rPr>
        <w:t xml:space="preserve">,</w:t>
      </w:r>
      <w:r>
        <w:rPr>
          <w:rFonts w:ascii="Times New Roman" w:hAnsi="Times New Roman"/>
          <w:sz w:val="24"/>
        </w:rPr>
        <w:t xml:space="preserve"> </w:t>
      </w:r>
      <w:r>
        <w:rPr>
          <w:rFonts w:ascii="Times New Roman" w:hAnsi="Times New Roman"/>
          <w:smallCaps/>
          <w:sz w:val="24"/>
        </w:rPr>
        <w:t xml:space="preserve">dad</w:t>
      </w:r>
      <w:r>
        <w:rPr>
          <w:rFonts w:ascii="Times New Roman" w:hAnsi="Times New Roman"/>
          <w:sz w:val="24"/>
        </w:rPr>
        <w:t xml:space="preserve">, etc.), the interval widens to include zero (</w:t>
      </w:r>
      <m:oMath>
        <m:r>
          <m:t>ρ</m:t>
        </m:r>
        <m:r>
          <m:rPr>
            <m:sty m:val="p"/>
          </m:rPr>
          <m:t>=</m:t>
        </m:r>
        <m:r>
          <m:t>0.45</m:t>
        </m:r>
      </m:oMath>
      <w:r>
        <w:rPr>
          <w:rFonts w:ascii="Times New Roman" w:hAnsi="Times New Roman"/>
          <w:sz w:val="24"/>
        </w:rPr>
        <w:t xml:space="preserve"> </w:t>
      </w:r>
      <w:r>
        <w:rPr>
          <w:rFonts w:ascii="Times New Roman" w:hAnsi="Times New Roman"/>
          <w:sz w:val="24"/>
        </w:rPr>
        <w:t xml:space="preserve">[</w:t>
      </w:r>
      <m:oMath>
        <m:r>
          <m:rPr>
            <m:sty m:val="p"/>
          </m:rPr>
          <m:t>−</m:t>
        </m:r>
        <m:r>
          <m:t>0.46</m:t>
        </m:r>
      </m:oMath>
      <w:r>
        <w:rPr>
          <w:rFonts w:ascii="Times New Roman" w:hAnsi="Times New Roman"/>
          <w:sz w:val="24"/>
        </w:rPr>
        <w:t xml:space="preserve">, 0.89];</w:t>
      </w:r>
      <w:r>
        <w:rPr>
          <w:rFonts w:ascii="Times New Roman" w:hAnsi="Times New Roman"/>
          <w:sz w:val="24"/>
        </w:rPr>
        <w:t xml:space="preserve"> </w:t>
      </w:r>
      <m:oMath>
        <m:r>
          <m:t>n</m:t>
        </m:r>
        <m:r>
          <m:rPr>
            <m:sty m:val="p"/>
          </m:rPr>
          <m:t>=</m:t>
        </m:r>
        <m:r>
          <m:t>11</m:t>
        </m:r>
      </m:oMath>
      <w:r>
        <w:rPr>
          <w:rFonts w:ascii="Times New Roman" w:hAnsi="Times New Roman"/>
          <w:sz w:val="24"/>
        </w:rPr>
        <w:t xml:space="preserve">), reflecting too few clusters for a reliable within-group dose-response estimate rather than absence of the relationship. Whether a continuous dose-response holds within categories is a question for finer-grained data. Figure </w:t>
      </w:r>
      <w:hyperlink w:anchor="fig:vocative-bare">
        <w:r>
          <w:rPr>
            <w:rStyle w:val="Hyperlink"/>
          </w:rPr>
          <w:t xml:space="preserve">2</w:t>
        </w:r>
      </w:hyperlink>
      <w:r>
        <w:rPr>
          <w:rFonts w:ascii="Times New Roman" w:hAnsi="Times New Roman"/>
          <w:sz w:val="24"/>
        </w:rPr>
        <w:t xml:space="preserve"> </w:t>
      </w:r>
      <w:r>
        <w:rPr>
          <w:rFonts w:ascii="Times New Roman" w:hAnsi="Times New Roman"/>
          <w:sz w:val="24"/>
        </w:rPr>
        <w:t xml:space="preserve">plots the term-level relationship: terms with more vocative concentration are also the ones most likely to appear as bare arguments.</w:t>
      </w:r>
    </w:p>
    <w:p>
      <w:pPr>
        <w:pStyle w:val="BodyText"/>
        <w:spacing w:line="480" w:lineRule="auto"/>
        <w:ind w:firstLine="720"/>
      </w:pPr>
      <w:r>
        <w:rPr>
          <w:rFonts w:ascii="Times New Roman" w:hAnsi="Times New Roman"/>
          <w:sz w:val="24"/>
        </w:rPr>
        <w:t xml:space="preserve">Three methodological caveats are in order. First, the title+name exclusion was motivated by linguistic analysis (the proper noun, not the kinship term, is the syntactic head), not by its effect on the correlation, but it was an afterthought that happened to improve the correlation, and the magnitude of improvement should be interpreted with that in mind: other defensible operationalizations might yield different values of</w:t>
      </w:r>
      <w:r>
        <w:rPr>
          <w:rFonts w:ascii="Times New Roman" w:hAnsi="Times New Roman"/>
          <w:sz w:val="24"/>
        </w:rPr>
        <w:t xml:space="preserve"> </w:t>
      </w:r>
      <m:oMath>
        <m:r>
          <m:t>ρ</m:t>
        </m:r>
      </m:oMath>
      <w:r>
        <w:rPr>
          <w:rFonts w:ascii="Times New Roman" w:hAnsi="Times New Roman"/>
          <w:sz w:val="24"/>
        </w:rPr>
        <w:t xml:space="preserve">. Second, with</w:t>
      </w:r>
      <w:r>
        <w:rPr>
          <w:rFonts w:ascii="Times New Roman" w:hAnsi="Times New Roman"/>
          <w:sz w:val="24"/>
        </w:rPr>
        <w:t xml:space="preserve"> </w:t>
      </w:r>
      <m:oMath>
        <m:r>
          <m:t>n</m:t>
        </m:r>
        <m:r>
          <m:rPr>
            <m:sty m:val="p"/>
          </m:rPr>
          <m:t>=</m:t>
        </m:r>
        <m:r>
          <m:t>30</m:t>
        </m:r>
      </m:oMath>
      <w:r>
        <w:rPr>
          <w:rFonts w:ascii="Times New Roman" w:hAnsi="Times New Roman"/>
          <w:sz w:val="24"/>
        </w:rPr>
        <w:t xml:space="preserve"> </w:t>
      </w:r>
      <w:r>
        <w:rPr>
          <w:rFonts w:ascii="Times New Roman" w:hAnsi="Times New Roman"/>
          <w:sz w:val="24"/>
        </w:rPr>
        <w:t xml:space="preserve">terms the correlation is suggestive but not dispositive; the bootstrap interval honestly reflects the uncertainty that a small sample entails. Third, the correlation is consistent with the proposed mechanism but doesn’t establish its causal direction. The causal argument rests on the theory and on the gradient’s alignment with taboo-strength predictions, not on the</w:t>
      </w:r>
      <w:r>
        <w:rPr>
          <w:rFonts w:ascii="Times New Roman" w:hAnsi="Times New Roman"/>
          <w:sz w:val="24"/>
        </w:rPr>
        <w:t xml:space="preserve"> </w:t>
      </w:r>
      <m:oMath>
        <m:r>
          <m:t>ρ</m:t>
        </m:r>
      </m:oMath>
      <w:r>
        <w:rPr>
          <w:rFonts w:ascii="Times New Roman" w:hAnsi="Times New Roman"/>
          <w:sz w:val="24"/>
        </w:rPr>
        <w:t xml:space="preserve"> </w:t>
      </w:r>
      <w:r>
        <w:rPr>
          <w:rFonts w:ascii="Times New Roman" w:hAnsi="Times New Roman"/>
          <w:sz w:val="24"/>
        </w:rPr>
        <w:t xml:space="preserve">value itself.</w:t>
      </w:r>
    </w:p>
    <w:bookmarkStart w:id="32" w:name="fig:vocative-bare"/>
    <w:p>
      <w:pPr>
        <w:pStyle w:val="CaptionedFigure"/>
        <w:spacing w:line="480" w:lineRule="auto"/>
      </w:pPr>
      <w:r>
        <w:rPr>
          <w:rFonts w:ascii="Times New Roman" w:hAnsi="Times New Roman"/>
          <w:sz w:val="24"/>
        </w:rPr>
        <w:drawing>
          <wp:inline>
            <wp:extent cx="4000500" cy="2583429"/>
            <wp:effectExtent b="0" l="0" r="0" t="0"/>
            <wp:docPr descr="" title="" id="30" name="Picture"/>
            <a:graphic>
              <a:graphicData uri="http://schemas.openxmlformats.org/drawingml/2006/picture">
                <pic:pic>
                  <pic:nvPicPr>
                    <pic:cNvPr descr="childes/fig_vocative_bare_corr.pdf" id="31" name="Picture"/>
                    <pic:cNvPicPr>
                      <a:picLocks noChangeArrowheads="1" noChangeAspect="1"/>
                    </pic:cNvPicPr>
                  </pic:nvPicPr>
                  <pic:blipFill>
                    <a:blip r:embed="rId29"/>
                    <a:stretch>
                      <a:fillRect/>
                    </a:stretch>
                  </pic:blipFill>
                  <pic:spPr bwMode="auto">
                    <a:xfrm>
                      <a:off x="0" y="0"/>
                      <a:ext cx="4000500" cy="2583429"/>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Figure 2: Correlation between vocative concentration and bare-argument use (terms with</w:t>
      </w:r>
      <w:r>
        <w:rPr>
          <w:rFonts w:ascii="Times New Roman" w:hAnsi="Times New Roman"/>
          <w:sz w:val="24"/>
        </w:rPr>
        <w:t xml:space="preserve"> </w:t>
      </w:r>
      <m:oMath>
        <m:r>
          <m:rPr>
            <m:sty m:val="p"/>
          </m:rPr>
          <m:t>≥</m:t>
        </m:r>
        <m:r>
          <m:t>50</m:t>
        </m:r>
      </m:oMath>
      <w:r>
        <w:rPr>
          <w:rFonts w:ascii="Times New Roman" w:hAnsi="Times New Roman"/>
          <w:sz w:val="24"/>
        </w:rPr>
        <w:t xml:space="preserve"> </w:t>
      </w:r>
      <w:r>
        <w:rPr>
          <w:rFonts w:ascii="Times New Roman" w:hAnsi="Times New Roman"/>
          <w:sz w:val="24"/>
        </w:rPr>
        <w:t xml:space="preserve">argument tokens). Spearman</w:t>
      </w:r>
      <w:r>
        <w:rPr>
          <w:rFonts w:ascii="Times New Roman" w:hAnsi="Times New Roman"/>
          <w:sz w:val="24"/>
        </w:rPr>
        <w:t xml:space="preserve"> </w:t>
      </w:r>
      <m:oMath>
        <m:r>
          <m:t>ρ</m:t>
        </m:r>
        <m:r>
          <m:rPr>
            <m:sty m:val="p"/>
          </m:rPr>
          <m:t>=</m:t>
        </m:r>
        <m:r>
          <m:t>0.73</m:t>
        </m:r>
      </m:oMath>
      <w:r>
        <w:rPr>
          <w:rFonts w:ascii="Times New Roman" w:hAnsi="Times New Roman"/>
          <w:sz w:val="24"/>
        </w:rPr>
        <w:t xml:space="preserve"> </w:t>
      </w:r>
      <w:r>
        <w:rPr>
          <w:rFonts w:ascii="Times New Roman" w:hAnsi="Times New Roman"/>
          <w:sz w:val="24"/>
        </w:rPr>
        <w:t xml:space="preserve">[0.52, 0.85].</w:t>
      </w:r>
    </w:p>
    <w:bookmarkEnd w:id="32"/>
    <w:bookmarkStart w:id="36" w:name="fig:gradient"/>
    <w:p>
      <w:pPr>
        <w:pStyle w:val="CaptionedFigure"/>
        <w:spacing w:line="480" w:lineRule="auto"/>
      </w:pPr>
      <w:r>
        <w:rPr>
          <w:rFonts w:ascii="Times New Roman" w:hAnsi="Times New Roman"/>
          <w:sz w:val="24"/>
        </w:rPr>
        <w:drawing>
          <wp:inline>
            <wp:extent cx="4533900" cy="3903848"/>
            <wp:effectExtent b="0" l="0" r="0" t="0"/>
            <wp:docPr descr="" title="" id="34" name="Picture"/>
            <a:graphic>
              <a:graphicData uri="http://schemas.openxmlformats.org/drawingml/2006/picture">
                <pic:pic>
                  <pic:nvPicPr>
                    <pic:cNvPr descr="childes/fig_gradient_barchart.pdf" id="35" name="Picture"/>
                    <pic:cNvPicPr>
                      <a:picLocks noChangeArrowheads="1" noChangeAspect="1"/>
                    </pic:cNvPicPr>
                  </pic:nvPicPr>
                  <pic:blipFill>
                    <a:blip r:embed="rId33"/>
                    <a:stretch>
                      <a:fillRect/>
                    </a:stretch>
                  </pic:blipFill>
                  <pic:spPr bwMode="auto">
                    <a:xfrm>
                      <a:off x="0" y="0"/>
                      <a:ext cx="4533900" cy="3903848"/>
                    </a:xfrm>
                    <a:prstGeom prst="rect">
                      <a:avLst/>
                    </a:prstGeom>
                    <a:noFill/>
                    <a:ln w="9525">
                      <a:noFill/>
                      <a:headEnd/>
                      <a:tailEnd/>
                    </a:ln>
                  </pic:spPr>
                </pic:pic>
              </a:graphicData>
            </a:graphic>
          </wp:inline>
        </w:drawing>
      </w:r>
    </w:p>
    <w:p>
      <w:pPr>
        <w:pStyle w:val="ImageCaption"/>
        <w:spacing w:line="480" w:lineRule="auto"/>
      </w:pPr>
      <w:r>
        <w:rPr>
          <w:rFonts w:ascii="Times New Roman" w:hAnsi="Times New Roman"/>
          <w:sz w:val="24"/>
        </w:rPr>
        <w:t>Figure 3: Bare-argument rate by kinship term (terms with</w:t>
      </w:r>
      <w:r>
        <w:rPr>
          <w:rFonts w:ascii="Times New Roman" w:hAnsi="Times New Roman"/>
          <w:sz w:val="24"/>
        </w:rPr>
        <w:t xml:space="preserve"> </w:t>
      </w:r>
      <m:oMath>
        <m:r>
          <m:rPr>
            <m:sty m:val="p"/>
          </m:rPr>
          <m:t>≥</m:t>
        </m:r>
        <m:r>
          <m:t>50</m:t>
        </m:r>
      </m:oMath>
      <w:r>
        <w:rPr>
          <w:rFonts w:ascii="Times New Roman" w:hAnsi="Times New Roman"/>
          <w:sz w:val="24"/>
        </w:rPr>
        <w:t xml:space="preserve"> </w:t>
      </w:r>
      <w:r>
        <w:rPr>
          <w:rFonts w:ascii="Times New Roman" w:hAnsi="Times New Roman"/>
          <w:sz w:val="24"/>
        </w:rPr>
        <w:t xml:space="preserve">argument tokens), ordered by rate. The gradient tracks taboo-driven vocative exposure: informal parent terms (highest, 63–90%), grandparent terms (intermediate, 22–64%), extended kin terms (lowest, 23–49%). Title+name constructions (</w:t>
      </w:r>
      <w:r>
        <w:rPr>
          <w:rFonts w:ascii="Times New Roman" w:hAnsi="Times New Roman"/>
          <w:i/>
          <w:iCs/>
          <w:sz w:val="24"/>
        </w:rPr>
        <w:t xml:space="preserve">Auntie Sarah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Grandma Peggy</w:t>
      </w:r>
      <w:r>
        <w:rPr>
          <w:rFonts w:ascii="Times New Roman" w:hAnsi="Times New Roman"/>
          <w:sz w:val="24"/>
        </w:rPr>
        <w:t xml:space="preserve">) are excluded from bare counts using %mor-tier proper-noun tagging, since the proper noun is the syntactic head.</w:t>
      </w:r>
    </w:p>
    <w:bookmarkEnd w:id="36"/>
    <w:p>
      <w:pPr>
        <w:pStyle w:val="BodyText"/>
        <w:spacing w:line="480" w:lineRule="auto"/>
        <w:ind w:firstLine="720"/>
      </w:pPr>
      <w:r>
        <w:rPr>
          <w:rFonts w:ascii="Times New Roman" w:hAnsi="Times New Roman"/>
          <w:sz w:val="24"/>
        </w:rPr>
        <w:t xml:space="preserve">Two patterns emerge. First, parent terms aren’t merely more frequent overall – they are</w:t>
      </w:r>
      <w:r>
        <w:rPr>
          <w:rFonts w:ascii="Times New Roman" w:hAnsi="Times New Roman"/>
          <w:sz w:val="24"/>
        </w:rPr>
        <w:t xml:space="preserve"> </w:t>
      </w:r>
      <w:r>
        <w:rPr>
          <w:rFonts w:ascii="Times New Roman" w:hAnsi="Times New Roman"/>
          <w:i/>
          <w:iCs/>
          <w:sz w:val="24"/>
        </w:rPr>
        <w:t xml:space="preserve">disproportionately concentrated in vocative function</w:t>
      </w:r>
      <w:r>
        <w:rPr>
          <w:rFonts w:ascii="Times New Roman" w:hAnsi="Times New Roman"/>
          <w:sz w:val="24"/>
        </w:rPr>
        <w:t xml:space="preserve">. Parent terms show 16–43% vocative use, while extended kin terms show only 4–7%. This is precisely the asymmetry the mechanism predicts: the naming taboo pushes parent terms into the vocative</w:t>
      </w:r>
      <w:r>
        <w:rPr>
          <w:rFonts w:ascii="Times New Roman" w:hAnsi="Times New Roman"/>
          <w:sz w:val="24"/>
        </w:rPr>
        <w:t xml:space="preserve"> </w:t>
      </w:r>
      <w:r>
        <w:rPr>
          <w:rFonts w:ascii="Times New Roman" w:hAnsi="Times New Roman"/>
          <w:sz w:val="24"/>
        </w:rPr>
        <w:t xml:space="preserve">“bridging context”</w:t>
      </w:r>
      <w:r>
        <w:rPr>
          <w:rFonts w:ascii="Times New Roman" w:hAnsi="Times New Roman"/>
          <w:sz w:val="24"/>
        </w:rPr>
        <w:t xml:space="preserve"> </w:t>
      </w:r>
      <w:r>
        <w:rPr>
          <w:rFonts w:ascii="Times New Roman" w:hAnsi="Times New Roman"/>
          <w:sz w:val="24"/>
        </w:rPr>
        <w:t xml:space="preserve">far more often than it affects terms for aunts, uncles, or cousins.</w:t>
      </w:r>
    </w:p>
    <w:p>
      <w:pPr>
        <w:pStyle w:val="BodyText"/>
        <w:spacing w:line="480" w:lineRule="auto"/>
        <w:ind w:firstLine="720"/>
      </w:pPr>
      <w:r>
        <w:rPr>
          <w:rFonts w:ascii="Times New Roman" w:hAnsi="Times New Roman"/>
          <w:sz w:val="24"/>
        </w:rPr>
        <w:t xml:space="preserve">Second, grandparent terms occupy an intermediate position (10–14% vocative), consistent with their intermediate proper-noun properties. Grandparents are sometimes addressed by kinship term (depending on family proximity), but less consistently than parents.</w:t>
      </w:r>
    </w:p>
    <w:p>
      <w:pPr>
        <w:pStyle w:val="BodyText"/>
        <w:spacing w:line="480" w:lineRule="auto"/>
        <w:ind w:firstLine="720"/>
      </w:pPr>
      <w:r>
        <w:rPr>
          <w:rFonts w:ascii="Times New Roman" w:hAnsi="Times New Roman"/>
          <w:sz w:val="24"/>
        </w:rPr>
        <w:t xml:space="preserve">The key finding is that children drive the vocative skew: 68% of vocative uses of kinship terms in CHILDES come from child speakers (*CHI tiers), not from adult caregivers. This directly supports the causal direction of the account. If the effect were driven by caregiver input alone – adults modelling</w:t>
      </w:r>
      <w:r>
        <w:rPr>
          <w:rFonts w:ascii="Times New Roman" w:hAnsi="Times New Roman"/>
          <w:sz w:val="24"/>
        </w:rPr>
        <w:t xml:space="preserve"> </w:t>
      </w:r>
      <w:r>
        <w:rPr>
          <w:rFonts w:ascii="Times New Roman" w:hAnsi="Times New Roman"/>
          <w:i/>
          <w:iCs/>
          <w:sz w:val="24"/>
        </w:rPr>
        <w:t xml:space="preserve">Mommy’s going to the store</w:t>
      </w:r>
      <w:r>
        <w:rPr>
          <w:rFonts w:ascii="Times New Roman" w:hAnsi="Times New Roman"/>
          <w:sz w:val="24"/>
        </w:rPr>
        <w:t xml:space="preserve"> </w:t>
      </w:r>
      <w:r>
        <w:rPr>
          <w:rFonts w:ascii="Times New Roman" w:hAnsi="Times New Roman"/>
          <w:sz w:val="24"/>
        </w:rPr>
        <w:t xml:space="preserve">– adults would dominate vocative use. Children dominate it instead, confirming that the taboo operates through what children</w:t>
      </w:r>
      <w:r>
        <w:rPr>
          <w:rFonts w:ascii="Times New Roman" w:hAnsi="Times New Roman"/>
          <w:sz w:val="24"/>
        </w:rPr>
        <w:t xml:space="preserve"> </w:t>
      </w:r>
      <w:r>
        <w:rPr>
          <w:rFonts w:ascii="Times New Roman" w:hAnsi="Times New Roman"/>
          <w:i/>
          <w:iCs/>
          <w:sz w:val="24"/>
        </w:rPr>
        <w:t xml:space="preserve">produce</w:t>
      </w:r>
      <w:r>
        <w:rPr>
          <w:rFonts w:ascii="Times New Roman" w:hAnsi="Times New Roman"/>
          <w:sz w:val="24"/>
        </w:rPr>
        <w:t xml:space="preserve">, not merely what they hear.</w:t>
      </w:r>
    </w:p>
    <w:p>
      <w:pPr>
        <w:pStyle w:val="BodyText"/>
        <w:spacing w:line="480" w:lineRule="auto"/>
        <w:ind w:firstLine="720"/>
      </w:pPr>
      <w:r>
        <w:rPr>
          <w:rFonts w:ascii="Times New Roman" w:hAnsi="Times New Roman"/>
          <w:sz w:val="24"/>
        </w:rPr>
        <w:t xml:space="preserve">This evidence validates the core frequency claim. The naming taboo doesn’t merely increase overall usage of</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it concentrates that usage in the vocative function that serves as the grammaticalization pathway.</w:t>
      </w:r>
    </w:p>
    <w:p>
      <w:pPr>
        <w:pStyle w:val="BodyText"/>
        <w:spacing w:line="480" w:lineRule="auto"/>
        <w:ind w:firstLine="720"/>
      </w:pPr>
      <w:r>
        <w:rPr>
          <w:rFonts w:ascii="Times New Roman" w:hAnsi="Times New Roman"/>
          <w:sz w:val="24"/>
        </w:rPr>
        <w:t xml:space="preserve">Conversational adjacency provides micro-level evidence for the bridging context. In the CHILDES data, 4.7% of utterances containing a vocative parent term are immediately followed by an utterance containing the same term as a bare argument – the distributional environment</w:t>
      </w:r>
      <w:r>
        <w:rPr>
          <w:rFonts w:ascii="Times New Roman" w:hAnsi="Times New Roman"/>
          <w:sz w:val="24"/>
        </w:rPr>
        <w:t xml:space="preserve"> </w:t>
      </w:r>
      <w:r>
        <w:rPr>
          <w:rFonts w:ascii="Times New Roman" w:hAnsi="Times New Roman"/>
          <w:sz w:val="24"/>
        </w:rPr>
        <w:t xml:space="preserve">Heine (2002)</w:t>
      </w:r>
      <w:r>
        <w:rPr>
          <w:rFonts w:ascii="Times New Roman" w:hAnsi="Times New Roman"/>
          <w:sz w:val="24"/>
        </w:rPr>
        <w:t xml:space="preserve"> </w:t>
      </w:r>
      <w:r>
        <w:rPr>
          <w:rFonts w:ascii="Times New Roman" w:hAnsi="Times New Roman"/>
          <w:sz w:val="24"/>
        </w:rPr>
        <w:t xml:space="preserve">describes. The rate isn’t high, and the mechanism doesn’t require it to be; it only requires that speakers encounter and produce the form in both functions within the same conversational stretch.</w:t>
      </w:r>
    </w:p>
    <w:p>
      <w:pPr>
        <w:pStyle w:val="BodyText"/>
        <w:spacing w:line="480" w:lineRule="auto"/>
        <w:ind w:firstLine="720"/>
      </w:pPr>
      <w:r>
        <w:rPr>
          <w:rFonts w:ascii="Times New Roman" w:hAnsi="Times New Roman"/>
          <w:sz w:val="24"/>
        </w:rPr>
        <w:t xml:space="preserve">The theoretical upshot is that proper-noun syntax for kinship terms isn’t a stipulated exception to general rules about determiners; it’s a predictable consequence of how frequently, in what positions, these forms are used. The taboo created the pressure; frequency created the entrenchment; entrenchment created the syntax.</w:t>
      </w:r>
    </w:p>
    <w:p>
      <w:pPr>
        <w:pStyle w:val="BodyText"/>
        <w:spacing w:line="480" w:lineRule="auto"/>
        <w:ind w:firstLine="720"/>
      </w:pPr>
      <w:r>
        <w:rPr>
          <w:rFonts w:ascii="Times New Roman" w:hAnsi="Times New Roman"/>
          <w:sz w:val="24"/>
        </w:rPr>
        <w:t xml:space="preserve">The naming taboo and the bare singular pattern aren’t coincidentally co-occurring. They’re reciprocally connected: the taboo produces the usage pattern that sedimented into syntax, and that distinct syntax now reinforces the special social status of the kin term. The reinforcement works through formal marking: using</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as a bare proper name (rather than</w:t>
      </w:r>
      <w:r>
        <w:rPr>
          <w:rFonts w:ascii="Times New Roman" w:hAnsi="Times New Roman"/>
          <w:sz w:val="24"/>
        </w:rPr>
        <w:t xml:space="preserve"> </w:t>
      </w:r>
      <w:r>
        <w:rPr>
          <w:rFonts w:ascii="Times New Roman" w:hAnsi="Times New Roman"/>
          <w:i/>
          <w:iCs/>
          <w:sz w:val="24"/>
        </w:rPr>
        <w:t xml:space="preserve">my mother</w:t>
      </w:r>
      <w:r>
        <w:rPr>
          <w:rFonts w:ascii="Times New Roman" w:hAnsi="Times New Roman"/>
          <w:sz w:val="24"/>
        </w:rPr>
        <w:t xml:space="preserve"> </w:t>
      </w:r>
      <w:r>
        <w:rPr>
          <w:rFonts w:ascii="Times New Roman" w:hAnsi="Times New Roman"/>
          <w:sz w:val="24"/>
        </w:rPr>
        <w:t xml:space="preserve">as a common noun) signals not just reference but the speaker’s position in the family hierarchy. The taboo shaped the syntax; the syntax sustains the taboo.</w:t>
      </w:r>
    </w:p>
    <w:p>
      <w:pPr>
        <w:pStyle w:val="BodyText"/>
        <w:spacing w:line="480" w:lineRule="auto"/>
        <w:ind w:firstLine="720"/>
      </w:pPr>
      <w:r>
        <w:rPr>
          <w:rFonts w:ascii="Times New Roman" w:hAnsi="Times New Roman"/>
          <w:sz w:val="24"/>
        </w:rPr>
        <w:t xml:space="preserve">This proposal makes a prediction: in speech communities where the naming taboo is weaker or absent, kinship terms should show less proper-noun-like syntax. They should require determiners more often; bare singular subjects should be marked or ungrammatical. A parallel prediction applies to honorific use: where kinship terms function as titles or honorifics (as with</w:t>
      </w:r>
      <w:r>
        <w:rPr>
          <w:rFonts w:ascii="Times New Roman" w:hAnsi="Times New Roman"/>
          <w:sz w:val="24"/>
        </w:rPr>
        <w:t xml:space="preserve"> </w:t>
      </w:r>
      <w:r>
        <w:rPr>
          <w:rFonts w:ascii="Times New Roman" w:hAnsi="Times New Roman"/>
          <w:i/>
          <w:iCs/>
          <w:sz w:val="24"/>
        </w:rPr>
        <w:t xml:space="preserve">Auntie Sarah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Uncle John</w:t>
      </w:r>
      <w:r>
        <w:rPr>
          <w:rFonts w:ascii="Times New Roman" w:hAnsi="Times New Roman"/>
          <w:sz w:val="24"/>
        </w:rPr>
        <w:t xml:space="preserve">, or religious</w:t>
      </w:r>
      <w:r>
        <w:rPr>
          <w:rFonts w:ascii="Times New Roman" w:hAnsi="Times New Roman"/>
          <w:sz w:val="24"/>
        </w:rPr>
        <w:t xml:space="preserve"> </w:t>
      </w:r>
      <w:r>
        <w:rPr>
          <w:rFonts w:ascii="Times New Roman" w:hAnsi="Times New Roman"/>
          <w:i/>
          <w:iCs/>
          <w:sz w:val="24"/>
        </w:rPr>
        <w:t xml:space="preserve">Brother</w:t>
      </w:r>
      <w:r>
        <w:rPr>
          <w:rFonts w:ascii="Times New Roman" w:hAnsi="Times New Roman"/>
          <w:sz w:val="24"/>
        </w:rPr>
        <w:t xml:space="preserve">/</w:t>
      </w:r>
      <w:r>
        <w:rPr>
          <w:rFonts w:ascii="Times New Roman" w:hAnsi="Times New Roman"/>
          <w:i/>
          <w:iCs/>
          <w:sz w:val="24"/>
        </w:rPr>
        <w:t xml:space="preserve">Sister</w:t>
      </w:r>
      <w:r>
        <w:rPr>
          <w:rFonts w:ascii="Times New Roman" w:hAnsi="Times New Roman"/>
          <w:sz w:val="24"/>
        </w:rPr>
        <w:t xml:space="preserve">), they should show stronger proper-noun properties than when used purely relationally. Section </w:t>
      </w:r>
      <w:hyperlink w:anchor="sec:crossling">
        <w:r>
          <w:rPr>
            <w:rStyle w:val="Hyperlink"/>
          </w:rPr>
          <w:t xml:space="preserve">5</w:t>
        </w:r>
      </w:hyperlink>
      <w:r>
        <w:rPr>
          <w:rFonts w:ascii="Times New Roman" w:hAnsi="Times New Roman"/>
          <w:sz w:val="24"/>
        </w:rPr>
        <w:t xml:space="preserve"> </w:t>
      </w:r>
      <w:r>
        <w:rPr>
          <w:rFonts w:ascii="Times New Roman" w:hAnsi="Times New Roman"/>
          <w:sz w:val="24"/>
        </w:rPr>
        <w:t xml:space="preserve">explores these predictions.</w:t>
      </w:r>
    </w:p>
    <w:bookmarkEnd w:id="37"/>
    <w:bookmarkStart w:id="43" w:name="sec:crossling"/>
    <w:p>
      <w:pPr>
        <w:pStyle w:val="Heading1"/>
        <w:spacing w:line="480" w:lineRule="auto"/>
      </w:pPr>
      <w:r>
        <w:rPr>
          <w:rFonts w:ascii="Times New Roman" w:hAnsi="Times New Roman"/>
        </w:rPr>
        <w:t xml:space="preserve">Cross-linguistic predictions: Malagasy</w:t>
      </w:r>
    </w:p>
    <w:p>
      <w:pPr>
        <w:pStyle w:val="FirstParagraph"/>
        <w:spacing w:line="480" w:lineRule="auto"/>
      </w:pPr>
      <w:r>
        <w:rPr>
          <w:rFonts w:ascii="Times New Roman" w:hAnsi="Times New Roman"/>
          <w:sz w:val="24"/>
        </w:rPr>
        <w:t xml:space="preserve">The English-internal evidence is suggestive, but the strongest test would come from a language combining (a) a strict determiner system, where bareness is marked, with (b) a much stronger naming taboo. Malagasy provides exactly this combination.</w:t>
      </w:r>
    </w:p>
    <w:p>
      <w:pPr>
        <w:pStyle w:val="BodyText"/>
        <w:spacing w:line="480" w:lineRule="auto"/>
        <w:ind w:firstLine="720"/>
      </w:pPr>
      <w:r>
        <w:rPr>
          <w:rFonts w:ascii="Times New Roman" w:hAnsi="Times New Roman"/>
          <w:sz w:val="24"/>
        </w:rPr>
        <w:t xml:space="preserve">Standard (Official) Malagasy is typologically useful here because it makes two distinctions overt that English collapses. First, proper names in argument position normally require a dedicated set of proper determiners, distinct from the common-noun determiner</w:t>
      </w:r>
      <w:r>
        <w:rPr>
          <w:rFonts w:ascii="Times New Roman" w:hAnsi="Times New Roman"/>
          <w:sz w:val="24"/>
        </w:rPr>
        <w:t xml:space="preserve"> </w:t>
      </w:r>
      <w:r>
        <w:rPr>
          <w:rFonts w:ascii="Times New Roman" w:hAnsi="Times New Roman"/>
          <w:i/>
          <w:iCs/>
          <w:sz w:val="24"/>
        </w:rPr>
        <w:t xml:space="preserve">ny</w:t>
      </w:r>
      <w:r>
        <w:rPr>
          <w:rFonts w:ascii="Times New Roman" w:hAnsi="Times New Roman"/>
          <w:sz w:val="24"/>
        </w:rPr>
        <w:t xml:space="preserve">. While</w:t>
      </w:r>
      <w:r>
        <w:rPr>
          <w:rFonts w:ascii="Times New Roman" w:hAnsi="Times New Roman"/>
          <w:sz w:val="24"/>
        </w:rPr>
        <w:t xml:space="preserve"> </w:t>
      </w:r>
      <w:r>
        <w:rPr>
          <w:rFonts w:ascii="Times New Roman" w:hAnsi="Times New Roman"/>
          <w:i/>
          <w:iCs/>
          <w:sz w:val="24"/>
        </w:rPr>
        <w:t xml:space="preserve">ny</w:t>
      </w:r>
      <w:r>
        <w:rPr>
          <w:rFonts w:ascii="Times New Roman" w:hAnsi="Times New Roman"/>
          <w:sz w:val="24"/>
        </w:rPr>
        <w:t xml:space="preserve"> </w:t>
      </w:r>
      <w:r>
        <w:rPr>
          <w:rFonts w:ascii="Times New Roman" w:hAnsi="Times New Roman"/>
          <w:sz w:val="24"/>
        </w:rPr>
        <w:t xml:space="preserve">is standardly analyzed as a definite article</w:t>
      </w:r>
      <w:r>
        <w:rPr>
          <w:rFonts w:ascii="Times New Roman" w:hAnsi="Times New Roman"/>
          <w:sz w:val="24"/>
        </w:rPr>
        <w:t xml:space="preserve"> </w:t>
      </w:r>
      <w:r>
        <w:rPr>
          <w:rFonts w:ascii="Times New Roman" w:hAnsi="Times New Roman"/>
          <w:sz w:val="24"/>
        </w:rPr>
        <w:t xml:space="preserve">(Keenan 2008)</w:t>
      </w:r>
      <w:r>
        <w:rPr>
          <w:rFonts w:ascii="Times New Roman" w:hAnsi="Times New Roman"/>
          <w:sz w:val="24"/>
        </w:rPr>
        <w:t xml:space="preserve">, in the present framework it marks the common-noun category – what Section </w:t>
      </w:r>
      <w:hyperlink w:anchor="sec:intro">
        <w:r>
          <w:rPr>
            <w:rStyle w:val="Hyperlink"/>
          </w:rPr>
          <w:t xml:space="preserve">1</w:t>
        </w:r>
      </w:hyperlink>
      <w:r>
        <w:rPr>
          <w:rFonts w:ascii="Times New Roman" w:hAnsi="Times New Roman"/>
          <w:sz w:val="24"/>
        </w:rPr>
        <w:t xml:space="preserve"> </w:t>
      </w:r>
      <w:r>
        <w:rPr>
          <w:rFonts w:ascii="Times New Roman" w:hAnsi="Times New Roman"/>
          <w:sz w:val="24"/>
        </w:rPr>
        <w:t xml:space="preserve">calls the</w:t>
      </w:r>
      <w:r>
        <w:rPr>
          <w:rFonts w:ascii="Times New Roman" w:hAnsi="Times New Roman"/>
          <w:sz w:val="24"/>
        </w:rPr>
        <w:t xml:space="preserve"> </w:t>
      </w:r>
      <w:r>
        <w:rPr>
          <w:rFonts w:ascii="Times New Roman" w:hAnsi="Times New Roman"/>
          <w:smallCaps/>
          <w:sz w:val="24"/>
        </w:rPr>
        <w:t xml:space="preserve">deital</w:t>
      </w:r>
      <w:r>
        <w:rPr>
          <w:rFonts w:ascii="Times New Roman" w:hAnsi="Times New Roman"/>
          <w:sz w:val="24"/>
        </w:rPr>
        <w:t xml:space="preserve"> </w:t>
      </w:r>
      <w:r>
        <w:rPr>
          <w:rFonts w:ascii="Times New Roman" w:hAnsi="Times New Roman"/>
          <w:sz w:val="24"/>
        </w:rPr>
        <w:t xml:space="preserve">cluster – contrasting with the proper-noun markers. The relabelling isn’t merely terminological: it captures the fact that the</w:t>
      </w:r>
      <w:r>
        <w:rPr>
          <w:rFonts w:ascii="Times New Roman" w:hAnsi="Times New Roman"/>
          <w:sz w:val="24"/>
        </w:rPr>
        <w:t xml:space="preserve"> </w:t>
      </w:r>
      <w:r>
        <w:rPr>
          <w:rFonts w:ascii="Times New Roman" w:hAnsi="Times New Roman"/>
          <w:i/>
          <w:iCs/>
          <w:sz w:val="24"/>
        </w:rPr>
        <w:t xml:space="preserve">ny</w:t>
      </w:r>
      <w:r>
        <w:rPr>
          <w:rFonts w:ascii="Times New Roman" w:hAnsi="Times New Roman"/>
          <w:sz w:val="24"/>
        </w:rPr>
        <w:t xml:space="preserve">/</w:t>
      </w:r>
      <w:r>
        <w:rPr>
          <w:rFonts w:ascii="Times New Roman" w:hAnsi="Times New Roman"/>
          <w:i/>
          <w:iCs/>
          <w:sz w:val="24"/>
        </w:rPr>
        <w:t xml:space="preserve">i</w:t>
      </w:r>
      <w:r>
        <w:rPr>
          <w:rFonts w:ascii="Times New Roman" w:hAnsi="Times New Roman"/>
          <w:sz w:val="24"/>
        </w:rPr>
        <w:t xml:space="preserve"> </w:t>
      </w:r>
      <w:r>
        <w:rPr>
          <w:rFonts w:ascii="Times New Roman" w:hAnsi="Times New Roman"/>
          <w:sz w:val="24"/>
        </w:rPr>
        <w:t xml:space="preserve">alternation tracks a syntactic category distinction (common vs. proper noun), not a semantic definiteness distinction, since both forms mark definite reference. Following</w:t>
      </w:r>
      <w:r>
        <w:rPr>
          <w:rFonts w:ascii="Times New Roman" w:hAnsi="Times New Roman"/>
          <w:sz w:val="24"/>
        </w:rPr>
        <w:t xml:space="preserve"> </w:t>
      </w:r>
      <w:r>
        <w:rPr>
          <w:rFonts w:ascii="Times New Roman" w:hAnsi="Times New Roman"/>
          <w:sz w:val="24"/>
        </w:rPr>
        <w:t xml:space="preserve">Paul (2018)</w:t>
      </w:r>
      <w:r>
        <w:rPr>
          <w:rFonts w:ascii="Times New Roman" w:hAnsi="Times New Roman"/>
          <w:sz w:val="24"/>
        </w:rPr>
        <w:t xml:space="preserve"> </w:t>
      </w:r>
      <w:r>
        <w:rPr>
          <w:rFonts w:ascii="Times New Roman" w:hAnsi="Times New Roman"/>
          <w:sz w:val="24"/>
        </w:rPr>
        <w:t xml:space="preserve">(summarizing</w:t>
      </w:r>
      <w:r>
        <w:rPr>
          <w:rFonts w:ascii="Times New Roman" w:hAnsi="Times New Roman"/>
          <w:sz w:val="24"/>
        </w:rPr>
        <w:t xml:space="preserve"> </w:t>
      </w:r>
      <w:r>
        <w:rPr>
          <w:rFonts w:ascii="Times New Roman" w:hAnsi="Times New Roman"/>
          <w:sz w:val="24"/>
        </w:rPr>
        <w:t xml:space="preserve">Dez (1990)</w:t>
      </w:r>
      <w:r>
        <w:rPr>
          <w:rFonts w:ascii="Times New Roman" w:hAnsi="Times New Roman"/>
          <w:sz w:val="24"/>
        </w:rPr>
        <w:t xml:space="preserve">), Official Malagasy has three such proper determiners: familiar</w:t>
      </w:r>
      <w:r>
        <w:rPr>
          <w:rFonts w:ascii="Times New Roman" w:hAnsi="Times New Roman"/>
          <w:sz w:val="24"/>
        </w:rPr>
        <w:t xml:space="preserve"> </w:t>
      </w:r>
      <w:r>
        <w:rPr>
          <w:rFonts w:ascii="Times New Roman" w:hAnsi="Times New Roman"/>
          <w:i/>
          <w:iCs/>
          <w:sz w:val="24"/>
        </w:rPr>
        <w:t xml:space="preserve">i</w:t>
      </w:r>
      <w:r>
        <w:rPr>
          <w:rFonts w:ascii="Times New Roman" w:hAnsi="Times New Roman"/>
          <w:sz w:val="24"/>
        </w:rPr>
        <w:t xml:space="preserve">, more respectful</w:t>
      </w:r>
      <w:r>
        <w:rPr>
          <w:rFonts w:ascii="Times New Roman" w:hAnsi="Times New Roman"/>
          <w:sz w:val="24"/>
        </w:rPr>
        <w:t xml:space="preserve"> </w:t>
      </w:r>
      <w:r>
        <w:rPr>
          <w:rFonts w:ascii="Times New Roman" w:hAnsi="Times New Roman"/>
          <w:i/>
          <w:iCs/>
          <w:sz w:val="24"/>
        </w:rPr>
        <w:t xml:space="preserve">ra-</w:t>
      </w:r>
      <w:r>
        <w:rPr>
          <w:rFonts w:ascii="Times New Roman" w:hAnsi="Times New Roman"/>
          <w:sz w:val="24"/>
        </w:rPr>
        <w:t xml:space="preserve">, and honorific</w:t>
      </w:r>
      <w:r>
        <w:rPr>
          <w:rFonts w:ascii="Times New Roman" w:hAnsi="Times New Roman"/>
          <w:sz w:val="24"/>
        </w:rPr>
        <w:t xml:space="preserve"> </w:t>
      </w:r>
      <w:r>
        <w:rPr>
          <w:rFonts w:ascii="Times New Roman" w:hAnsi="Times New Roman"/>
          <w:i/>
          <w:iCs/>
          <w:sz w:val="24"/>
        </w:rPr>
        <w:t xml:space="preserve">andria-</w:t>
      </w:r>
      <w:r>
        <w:rPr>
          <w:rFonts w:ascii="Times New Roman" w:hAnsi="Times New Roman"/>
          <w:sz w:val="24"/>
        </w:rPr>
        <w:t xml:space="preserve">. The key is that these proper determiners are precisely the ones that can be omitted in vocative use: they are reported to be</w:t>
      </w:r>
      <w:r>
        <w:rPr>
          <w:rFonts w:ascii="Times New Roman" w:hAnsi="Times New Roman"/>
          <w:sz w:val="24"/>
        </w:rPr>
        <w:t xml:space="preserve"> </w:t>
      </w:r>
      <w:r>
        <w:rPr>
          <w:rFonts w:ascii="Times New Roman" w:hAnsi="Times New Roman"/>
          <w:i/>
          <w:iCs/>
          <w:sz w:val="24"/>
        </w:rPr>
        <w:t xml:space="preserve">only</w:t>
      </w:r>
      <w:r>
        <w:rPr>
          <w:rFonts w:ascii="Times New Roman" w:hAnsi="Times New Roman"/>
          <w:sz w:val="24"/>
        </w:rPr>
        <w:t xml:space="preserve"> </w:t>
      </w:r>
      <w:r>
        <w:rPr>
          <w:rFonts w:ascii="Times New Roman" w:hAnsi="Times New Roman"/>
          <w:sz w:val="24"/>
        </w:rPr>
        <w:t xml:space="preserve">omitted when the proper name is used as a vocative.</w:t>
      </w:r>
    </w:p>
    <w:p>
      <w:pPr>
        <w:pStyle w:val="BodyText"/>
        <w:spacing w:line="480" w:lineRule="auto"/>
        <w:ind w:firstLine="720"/>
      </w:pPr>
      <w:r>
        <w:rPr>
          <w:rFonts w:ascii="Times New Roman" w:hAnsi="Times New Roman"/>
          <w:sz w:val="24"/>
        </w:rPr>
        <w:t xml:space="preserve">Second, Malagasy has dedicated vocative morphology for (most) non-pronominal vocatives: the vocative marker</w:t>
      </w:r>
      <w:r>
        <w:rPr>
          <w:rFonts w:ascii="Times New Roman" w:hAnsi="Times New Roman"/>
          <w:sz w:val="24"/>
        </w:rPr>
        <w:t xml:space="preserve"> </w:t>
      </w:r>
      <w:r>
        <w:rPr>
          <w:rFonts w:ascii="Times New Roman" w:hAnsi="Times New Roman"/>
          <w:i/>
          <w:iCs/>
          <w:sz w:val="24"/>
        </w:rPr>
        <w:t xml:space="preserve">ry</w:t>
      </w:r>
      <w:r>
        <w:rPr>
          <w:rFonts w:ascii="Times New Roman" w:hAnsi="Times New Roman"/>
          <w:sz w:val="24"/>
        </w:rPr>
        <w:t xml:space="preserve"> </w:t>
      </w:r>
      <w:r>
        <w:rPr>
          <w:rFonts w:ascii="Times New Roman" w:hAnsi="Times New Roman"/>
          <w:sz w:val="24"/>
        </w:rPr>
        <w:t xml:space="preserve">(Potsdam 2010)</w:t>
      </w:r>
      <w:r>
        <w:rPr>
          <w:rFonts w:ascii="Times New Roman" w:hAnsi="Times New Roman"/>
          <w:sz w:val="24"/>
        </w:rPr>
        <w:t xml:space="preserve">. Potsdam gives the sharp contrast</w:t>
      </w:r>
      <w:r>
        <w:rPr>
          <w:rFonts w:ascii="Times New Roman" w:hAnsi="Times New Roman"/>
          <w:sz w:val="24"/>
        </w:rPr>
        <w:t xml:space="preserve"> </w:t>
      </w:r>
      <w:r>
        <w:rPr>
          <w:rFonts w:ascii="Times New Roman" w:hAnsi="Times New Roman"/>
          <w:i/>
          <w:iCs/>
          <w:sz w:val="24"/>
        </w:rPr>
        <w:t xml:space="preserve">i Soa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‘Soa’</w:t>
      </w:r>
      <w:r>
        <w:rPr>
          <w:rFonts w:ascii="Times New Roman" w:hAnsi="Times New Roman"/>
          <w:sz w:val="24"/>
        </w:rPr>
        <w:t xml:space="preserve">, non-vocative only) versus</w:t>
      </w:r>
      <w:r>
        <w:rPr>
          <w:rFonts w:ascii="Times New Roman" w:hAnsi="Times New Roman"/>
          <w:sz w:val="24"/>
        </w:rPr>
        <w:t xml:space="preserve"> </w:t>
      </w:r>
      <w:r>
        <w:rPr>
          <w:rFonts w:ascii="Times New Roman" w:hAnsi="Times New Roman"/>
          <w:i/>
          <w:iCs/>
          <w:sz w:val="24"/>
        </w:rPr>
        <w:t xml:space="preserve">ry Soa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‘Soa!’</w:t>
      </w:r>
      <w:r>
        <w:rPr>
          <w:rFonts w:ascii="Times New Roman" w:hAnsi="Times New Roman"/>
          <w:sz w:val="24"/>
        </w:rPr>
        <w:t xml:space="preserve">, vocative only), and likewise</w:t>
      </w:r>
      <w:r>
        <w:rPr>
          <w:rFonts w:ascii="Times New Roman" w:hAnsi="Times New Roman"/>
          <w:sz w:val="24"/>
        </w:rPr>
        <w:t xml:space="preserve"> </w:t>
      </w:r>
      <w:r>
        <w:rPr>
          <w:rFonts w:ascii="Times New Roman" w:hAnsi="Times New Roman"/>
          <w:i/>
          <w:iCs/>
          <w:sz w:val="24"/>
        </w:rPr>
        <w:t xml:space="preserve">ny mpianatra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students’</w:t>
      </w:r>
      <w:r>
        <w:rPr>
          <w:rFonts w:ascii="Times New Roman" w:hAnsi="Times New Roman"/>
          <w:sz w:val="24"/>
        </w:rPr>
        <w:t xml:space="preserve">, non-vocative only) versus</w:t>
      </w:r>
      <w:r>
        <w:rPr>
          <w:rFonts w:ascii="Times New Roman" w:hAnsi="Times New Roman"/>
          <w:sz w:val="24"/>
        </w:rPr>
        <w:t xml:space="preserve"> </w:t>
      </w:r>
      <w:r>
        <w:rPr>
          <w:rFonts w:ascii="Times New Roman" w:hAnsi="Times New Roman"/>
          <w:i/>
          <w:iCs/>
          <w:sz w:val="24"/>
        </w:rPr>
        <w:t xml:space="preserve">ry mpianatra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‘students!’</w:t>
      </w:r>
      <w:r>
        <w:rPr>
          <w:rFonts w:ascii="Times New Roman" w:hAnsi="Times New Roman"/>
          <w:sz w:val="24"/>
        </w:rPr>
        <w:t xml:space="preserve">, vocative only). The distribution is as follows:</w:t>
      </w:r>
      <w:r>
        <w:rPr>
          <w:rFonts w:ascii="Times New Roman" w:hAnsi="Times New Roman"/>
          <w:sz w:val="24"/>
        </w:rPr>
        <w:t xml:space="preserve"> </w:t>
      </w:r>
      <w:r>
        <w:rPr>
          <w:rFonts w:ascii="Times New Roman" w:hAnsi="Times New Roman"/>
          <w:i/>
          <w:iCs/>
          <w:sz w:val="24"/>
        </w:rPr>
        <w:t xml:space="preserve">ry</w:t>
      </w:r>
      <w:r>
        <w:rPr>
          <w:rFonts w:ascii="Times New Roman" w:hAnsi="Times New Roman"/>
          <w:sz w:val="24"/>
        </w:rPr>
        <w:t xml:space="preserve"> </w:t>
      </w:r>
      <w:r>
        <w:rPr>
          <w:rFonts w:ascii="Times New Roman" w:hAnsi="Times New Roman"/>
          <w:sz w:val="24"/>
        </w:rPr>
        <w:t xml:space="preserve">is the general vocative marker (used with both proper names and common nouns), while determiner-omission is a proper-name-specific vocative alternative. Thus if a teknonym takes</w:t>
      </w:r>
      <w:r>
        <w:rPr>
          <w:rFonts w:ascii="Times New Roman" w:hAnsi="Times New Roman"/>
          <w:sz w:val="24"/>
        </w:rPr>
        <w:t xml:space="preserve"> </w:t>
      </w:r>
      <w:r>
        <w:rPr>
          <w:rFonts w:ascii="Times New Roman" w:hAnsi="Times New Roman"/>
          <w:i/>
          <w:iCs/>
          <w:sz w:val="24"/>
        </w:rPr>
        <w:t xml:space="preserve">ry</w:t>
      </w:r>
      <w:r>
        <w:rPr>
          <w:rFonts w:ascii="Times New Roman" w:hAnsi="Times New Roman"/>
          <w:sz w:val="24"/>
        </w:rPr>
        <w:t xml:space="preserve"> </w:t>
      </w:r>
      <w:r>
        <w:rPr>
          <w:rFonts w:ascii="Times New Roman" w:hAnsi="Times New Roman"/>
          <w:sz w:val="24"/>
        </w:rPr>
        <w:t xml:space="preserve">in vocative function, it’s being treated as an ordinary noun; if it appears bare, proper-name status is already being assumed. A small complication is that</w:t>
      </w:r>
      <w:r>
        <w:rPr>
          <w:rFonts w:ascii="Times New Roman" w:hAnsi="Times New Roman"/>
          <w:sz w:val="24"/>
        </w:rPr>
        <w:t xml:space="preserve"> </w:t>
      </w:r>
      <w:r>
        <w:rPr>
          <w:rFonts w:ascii="Times New Roman" w:hAnsi="Times New Roman"/>
          <w:i/>
          <w:iCs/>
          <w:sz w:val="24"/>
        </w:rPr>
        <w:t xml:space="preserve">i</w:t>
      </w:r>
      <w:r>
        <w:rPr>
          <w:rFonts w:ascii="Times New Roman" w:hAnsi="Times New Roman"/>
          <w:sz w:val="24"/>
        </w:rPr>
        <w:t xml:space="preserve"> </w:t>
      </w:r>
      <w:r>
        <w:rPr>
          <w:rFonts w:ascii="Times New Roman" w:hAnsi="Times New Roman"/>
          <w:sz w:val="24"/>
        </w:rPr>
        <w:t xml:space="preserve">can exceptionally be retained in an imperative vocative to avoid excessive directness (reported by Dez), but the default split remains: proper-name determiners characterize non-vocative proper names, while vocatives are marked by</w:t>
      </w:r>
      <w:r>
        <w:rPr>
          <w:rFonts w:ascii="Times New Roman" w:hAnsi="Times New Roman"/>
          <w:sz w:val="24"/>
        </w:rPr>
        <w:t xml:space="preserve"> </w:t>
      </w:r>
      <w:r>
        <w:rPr>
          <w:rFonts w:ascii="Times New Roman" w:hAnsi="Times New Roman"/>
          <w:i/>
          <w:iCs/>
          <w:sz w:val="24"/>
        </w:rPr>
        <w:t xml:space="preserve">ry</w:t>
      </w:r>
      <w:r>
        <w:rPr>
          <w:rFonts w:ascii="Times New Roman" w:hAnsi="Times New Roman"/>
          <w:sz w:val="24"/>
        </w:rPr>
        <w:t xml:space="preserve"> </w:t>
      </w:r>
      <w:r>
        <w:rPr>
          <w:rFonts w:ascii="Times New Roman" w:hAnsi="Times New Roman"/>
          <w:sz w:val="24"/>
        </w:rPr>
        <w:t xml:space="preserve">or by determiner-omission.</w:t>
      </w:r>
    </w:p>
    <w:p>
      <w:pPr>
        <w:pStyle w:val="BodyText"/>
        <w:spacing w:line="480" w:lineRule="auto"/>
        <w:ind w:firstLine="720"/>
      </w:pPr>
      <w:r>
        <w:rPr>
          <w:rFonts w:ascii="Times New Roman" w:hAnsi="Times New Roman"/>
          <w:sz w:val="24"/>
        </w:rPr>
        <w:t xml:space="preserve">Among the Zafimaniry of Madagascar, naming taboos are far more pervasive than in English</w:t>
      </w:r>
      <w:r>
        <w:rPr>
          <w:rFonts w:ascii="Times New Roman" w:hAnsi="Times New Roman"/>
          <w:sz w:val="24"/>
        </w:rPr>
        <w:t xml:space="preserve"> </w:t>
      </w:r>
      <w:r>
        <w:rPr>
          <w:rFonts w:ascii="Times New Roman" w:hAnsi="Times New Roman"/>
          <w:sz w:val="24"/>
        </w:rPr>
        <w:t xml:space="preserve">(Bloch 2010)</w:t>
      </w:r>
      <w:r>
        <w:rPr>
          <w:rFonts w:ascii="Times New Roman" w:hAnsi="Times New Roman"/>
          <w:sz w:val="24"/>
        </w:rPr>
        <w:t xml:space="preserve">. Bloch documents how personal names progressively fall out of use as speakers acquire social status. Young parents find personal names awkward; teknonyms (</w:t>
      </w:r>
      <w:r>
        <w:rPr>
          <w:rFonts w:ascii="Times New Roman" w:hAnsi="Times New Roman"/>
          <w:i/>
          <w:iCs/>
          <w:sz w:val="24"/>
        </w:rPr>
        <w:t xml:space="preserve">renin’Solo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‘mother of Solo’</w:t>
      </w:r>
      <w:r>
        <w:rPr>
          <w:rFonts w:ascii="Times New Roman" w:hAnsi="Times New Roman"/>
          <w:sz w:val="24"/>
        </w:rPr>
        <w:t xml:space="preserve">) replace them in address and reference. For established elders (</w:t>
      </w:r>
      <w:r>
        <w:rPr>
          <w:rFonts w:ascii="Times New Roman" w:hAnsi="Times New Roman"/>
          <w:smallCaps/>
          <w:sz w:val="24"/>
        </w:rPr>
        <w:t xml:space="preserve">raiamandreny</w:t>
      </w:r>
      <w:r>
        <w:rPr>
          <w:rFonts w:ascii="Times New Roman" w:hAnsi="Times New Roman"/>
          <w:sz w:val="24"/>
        </w:rPr>
        <w:t xml:space="preserve">), personal names are actively avoided; using one would deny the person’s legitimate place in the moral order. Bloch reports further stages of depersonalization, though the precise trajectory varies.</w:t>
      </w:r>
    </w:p>
    <w:p>
      <w:pPr>
        <w:pStyle w:val="BodyText"/>
        <w:spacing w:line="480" w:lineRule="auto"/>
        <w:ind w:firstLine="720"/>
      </w:pPr>
      <w:r>
        <w:rPr>
          <w:rFonts w:ascii="Times New Roman" w:hAnsi="Times New Roman"/>
          <w:sz w:val="24"/>
        </w:rPr>
        <w:t xml:space="preserve">This represents a much stronger input pressure than the English parent-child taboo. The avoidance extends beyond children addressing parents to encompass entire communities addressing elders.</w:t>
      </w:r>
    </w:p>
    <w:bookmarkStart w:id="38" w:name="the-prediction"/>
    <w:p>
      <w:pPr>
        <w:pStyle w:val="Heading2"/>
        <w:spacing w:line="480" w:lineRule="auto"/>
      </w:pPr>
      <w:r>
        <w:rPr>
          <w:rFonts w:ascii="Times New Roman" w:hAnsi="Times New Roman"/>
        </w:rPr>
        <w:t xml:space="preserve">The prediction</w:t>
      </w:r>
    </w:p>
    <w:p>
      <w:pPr>
        <w:pStyle w:val="FirstParagraph"/>
        <w:spacing w:line="480" w:lineRule="auto"/>
      </w:pPr>
      <w:r>
        <w:rPr>
          <w:rFonts w:ascii="Times New Roman" w:hAnsi="Times New Roman"/>
          <w:sz w:val="24"/>
        </w:rPr>
        <w:t xml:space="preserve">The existence of a dedicated vocative determiner refines the prediction. In English, vocative function is bare, so vocative use and proper-noun-like syntax converge in a single morphological form. In Malagasy, they can diverge: vocative function may take</w:t>
      </w:r>
      <w:r>
        <w:rPr>
          <w:rFonts w:ascii="Times New Roman" w:hAnsi="Times New Roman"/>
          <w:sz w:val="24"/>
        </w:rPr>
        <w:t xml:space="preserve"> </w:t>
      </w:r>
      <w:r>
        <w:rPr>
          <w:rFonts w:ascii="Times New Roman" w:hAnsi="Times New Roman"/>
          <w:i/>
          <w:iCs/>
          <w:sz w:val="24"/>
        </w:rPr>
        <w:t xml:space="preserve">ry</w:t>
      </w:r>
      <w:r>
        <w:rPr>
          <w:rFonts w:ascii="Times New Roman" w:hAnsi="Times New Roman"/>
          <w:sz w:val="24"/>
        </w:rPr>
        <w:t xml:space="preserve"> </w:t>
      </w:r>
      <w:r>
        <w:rPr>
          <w:rFonts w:ascii="Times New Roman" w:hAnsi="Times New Roman"/>
          <w:sz w:val="24"/>
        </w:rPr>
        <w:t xml:space="preserve">or appear bare</w:t>
      </w:r>
      <w:r>
        <w:rPr>
          <w:rFonts w:ascii="Times New Roman" w:hAnsi="Times New Roman"/>
          <w:sz w:val="24"/>
        </w:rPr>
        <w:t xml:space="preserve"> </w:t>
      </w:r>
      <w:r>
        <w:rPr>
          <w:rFonts w:ascii="Times New Roman" w:hAnsi="Times New Roman"/>
          <w:sz w:val="24"/>
        </w:rPr>
        <w:t xml:space="preserve">(Paul 2018)</w:t>
      </w:r>
      <w:r>
        <w:rPr>
          <w:rFonts w:ascii="Times New Roman" w:hAnsi="Times New Roman"/>
          <w:sz w:val="24"/>
        </w:rPr>
        <w:t xml:space="preserve">, while argument position requires either</w:t>
      </w:r>
      <w:r>
        <w:rPr>
          <w:rFonts w:ascii="Times New Roman" w:hAnsi="Times New Roman"/>
          <w:sz w:val="24"/>
        </w:rPr>
        <w:t xml:space="preserve"> </w:t>
      </w:r>
      <w:r>
        <w:rPr>
          <w:rFonts w:ascii="Times New Roman" w:hAnsi="Times New Roman"/>
          <w:i/>
          <w:iCs/>
          <w:sz w:val="24"/>
        </w:rPr>
        <w:t xml:space="preserve">ny</w:t>
      </w:r>
      <w:r>
        <w:rPr>
          <w:rFonts w:ascii="Times New Roman" w:hAnsi="Times New Roman"/>
          <w:sz w:val="24"/>
        </w:rPr>
        <w:t xml:space="preserve"> </w:t>
      </w:r>
      <w:r>
        <w:rPr>
          <w:rFonts w:ascii="Times New Roman" w:hAnsi="Times New Roman"/>
          <w:sz w:val="24"/>
        </w:rPr>
        <w:t xml:space="preserve">(common noun) or</w:t>
      </w:r>
      <w:r>
        <w:rPr>
          <w:rFonts w:ascii="Times New Roman" w:hAnsi="Times New Roman"/>
          <w:sz w:val="24"/>
        </w:rPr>
        <w:t xml:space="preserve"> </w:t>
      </w:r>
      <w:r>
        <w:rPr>
          <w:rFonts w:ascii="Times New Roman" w:hAnsi="Times New Roman"/>
          <w:i/>
          <w:iCs/>
          <w:sz w:val="24"/>
        </w:rPr>
        <w:t xml:space="preserve">i</w:t>
      </w:r>
      <w:r>
        <w:rPr>
          <w:rFonts w:ascii="Times New Roman" w:hAnsi="Times New Roman"/>
          <w:sz w:val="24"/>
        </w:rPr>
        <w:t xml:space="preserve">/</w:t>
      </w:r>
      <w:r>
        <w:rPr>
          <w:rFonts w:ascii="Times New Roman" w:hAnsi="Times New Roman"/>
          <w:i/>
          <w:iCs/>
          <w:sz w:val="24"/>
        </w:rPr>
        <w:t xml:space="preserve">ra</w:t>
      </w:r>
      <w:r>
        <w:rPr>
          <w:rFonts w:ascii="Times New Roman" w:hAnsi="Times New Roman"/>
          <w:sz w:val="24"/>
        </w:rPr>
        <w:t xml:space="preserve"> </w:t>
      </w:r>
      <w:r>
        <w:rPr>
          <w:rFonts w:ascii="Times New Roman" w:hAnsi="Times New Roman"/>
          <w:sz w:val="24"/>
        </w:rPr>
        <w:t xml:space="preserve">(proper noun).</w:t>
      </w:r>
    </w:p>
    <w:p>
      <w:pPr>
        <w:pStyle w:val="BodyText"/>
        <w:spacing w:line="480" w:lineRule="auto"/>
        <w:ind w:firstLine="720"/>
      </w:pPr>
      <w:r>
        <w:rPr>
          <w:rFonts w:ascii="Times New Roman" w:hAnsi="Times New Roman"/>
          <w:sz w:val="24"/>
        </w:rPr>
        <w:t xml:space="preserve">The question, then, isn’t whether teknonyms appear bare (Malagasy doesn’t license bareness in argument position the way English does), but which determiner they select when used as subjects or objects. If the naming taboo produces proper-noun grammaticalization, teknonyms should take the proper-noun determiners</w:t>
      </w:r>
      <w:r>
        <w:rPr>
          <w:rFonts w:ascii="Times New Roman" w:hAnsi="Times New Roman"/>
          <w:sz w:val="24"/>
        </w:rPr>
        <w:t xml:space="preserve"> </w:t>
      </w:r>
      <w:r>
        <w:rPr>
          <w:rFonts w:ascii="Times New Roman" w:hAnsi="Times New Roman"/>
          <w:i/>
          <w:iCs/>
          <w:sz w:val="24"/>
        </w:rPr>
        <w:t xml:space="preserve">i</w:t>
      </w:r>
      <w:r>
        <w:rPr>
          <w:rFonts w:ascii="Times New Roman" w:hAnsi="Times New Roman"/>
          <w:sz w:val="24"/>
        </w:rPr>
        <w:t xml:space="preserve">/</w:t>
      </w:r>
      <w:r>
        <w:rPr>
          <w:rFonts w:ascii="Times New Roman" w:hAnsi="Times New Roman"/>
          <w:i/>
          <w:iCs/>
          <w:sz w:val="24"/>
        </w:rPr>
        <w:t xml:space="preserve">ra</w:t>
      </w:r>
      <w:r>
        <w:rPr>
          <w:rFonts w:ascii="Times New Roman" w:hAnsi="Times New Roman"/>
          <w:sz w:val="24"/>
        </w:rPr>
        <w:t xml:space="preserve"> </w:t>
      </w:r>
      <w:r>
        <w:rPr>
          <w:rFonts w:ascii="Times New Roman" w:hAnsi="Times New Roman"/>
          <w:sz w:val="24"/>
        </w:rPr>
        <w:t xml:space="preserve">in argument position, while taking</w:t>
      </w:r>
      <w:r>
        <w:rPr>
          <w:rFonts w:ascii="Times New Roman" w:hAnsi="Times New Roman"/>
          <w:sz w:val="24"/>
        </w:rPr>
        <w:t xml:space="preserve"> </w:t>
      </w:r>
      <w:r>
        <w:rPr>
          <w:rFonts w:ascii="Times New Roman" w:hAnsi="Times New Roman"/>
          <w:i/>
          <w:iCs/>
          <w:sz w:val="24"/>
        </w:rPr>
        <w:t xml:space="preserve">ry</w:t>
      </w:r>
      <w:r>
        <w:rPr>
          <w:rFonts w:ascii="Times New Roman" w:hAnsi="Times New Roman"/>
          <w:sz w:val="24"/>
        </w:rPr>
        <w:t xml:space="preserve"> </w:t>
      </w:r>
      <w:r>
        <w:rPr>
          <w:rFonts w:ascii="Times New Roman" w:hAnsi="Times New Roman"/>
          <w:sz w:val="24"/>
        </w:rPr>
        <w:t xml:space="preserve">or appearing bare in vocative function. If they take</w:t>
      </w:r>
      <w:r>
        <w:rPr>
          <w:rFonts w:ascii="Times New Roman" w:hAnsi="Times New Roman"/>
          <w:sz w:val="24"/>
        </w:rPr>
        <w:t xml:space="preserve"> </w:t>
      </w:r>
      <w:r>
        <w:rPr>
          <w:rFonts w:ascii="Times New Roman" w:hAnsi="Times New Roman"/>
          <w:i/>
          <w:iCs/>
          <w:sz w:val="24"/>
        </w:rPr>
        <w:t xml:space="preserve">ny</w:t>
      </w:r>
      <w:r>
        <w:rPr>
          <w:rFonts w:ascii="Times New Roman" w:hAnsi="Times New Roman"/>
          <w:sz w:val="24"/>
        </w:rPr>
        <w:t xml:space="preserve"> </w:t>
      </w:r>
      <w:r>
        <w:rPr>
          <w:rFonts w:ascii="Times New Roman" w:hAnsi="Times New Roman"/>
          <w:sz w:val="24"/>
        </w:rPr>
        <w:t xml:space="preserve">in arguments, the taboo hasn’t produced the syntactic shift the mechanism predicts.</w:t>
      </w:r>
    </w:p>
    <w:p>
      <w:pPr>
        <w:pStyle w:val="BodyText"/>
        <w:spacing w:line="480" w:lineRule="auto"/>
        <w:ind w:firstLine="720"/>
      </w:pPr>
      <w:r>
        <w:rPr>
          <w:rFonts w:ascii="Times New Roman" w:hAnsi="Times New Roman"/>
          <w:sz w:val="24"/>
        </w:rPr>
        <w:t xml:space="preserve">A structural difference deserves acknowledgment: English simplex kinship terms (</w:t>
      </w:r>
      <w:r>
        <w:rPr>
          <w:rFonts w:ascii="Times New Roman" w:hAnsi="Times New Roman"/>
          <w:i/>
          <w:iCs/>
          <w:sz w:val="24"/>
        </w:rPr>
        <w:t xml:space="preserve">Mom</w:t>
      </w:r>
      <w:r>
        <w:rPr>
          <w:rFonts w:ascii="Times New Roman" w:hAnsi="Times New Roman"/>
          <w:sz w:val="24"/>
        </w:rPr>
        <w:t xml:space="preserve">) differ from Malagasy phrasal teknonyms (</w:t>
      </w:r>
      <w:r>
        <w:rPr>
          <w:rFonts w:ascii="Times New Roman" w:hAnsi="Times New Roman"/>
          <w:i/>
          <w:iCs/>
          <w:sz w:val="24"/>
        </w:rPr>
        <w:t xml:space="preserve">renin’Solo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‘mother of Solo’</w:t>
      </w:r>
      <w:r>
        <w:rPr>
          <w:rFonts w:ascii="Times New Roman" w:hAnsi="Times New Roman"/>
          <w:sz w:val="24"/>
        </w:rPr>
        <w:t xml:space="preserve">). For the mechanism to apply, the teknonym’s proper-name status must itself be the grammaticalization product – a descriptive phrase that acquired proper-name function through high-frequency use in naming position, just as English</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acquired proper-name syntax through the same pathway. The test is whether the phrase now takes proper-name determiners (</w:t>
      </w:r>
      <w:r>
        <w:rPr>
          <w:rFonts w:ascii="Times New Roman" w:hAnsi="Times New Roman"/>
          <w:i/>
          <w:iCs/>
          <w:sz w:val="24"/>
        </w:rPr>
        <w:t xml:space="preserve">i</w:t>
      </w:r>
      <w:r>
        <w:rPr>
          <w:rFonts w:ascii="Times New Roman" w:hAnsi="Times New Roman"/>
          <w:sz w:val="24"/>
        </w:rPr>
        <w:t xml:space="preserve">/</w:t>
      </w:r>
      <w:r>
        <w:rPr>
          <w:rFonts w:ascii="Times New Roman" w:hAnsi="Times New Roman"/>
          <w:i/>
          <w:iCs/>
          <w:sz w:val="24"/>
        </w:rPr>
        <w:t xml:space="preserve">ra</w:t>
      </w:r>
      <w:r>
        <w:rPr>
          <w:rFonts w:ascii="Times New Roman" w:hAnsi="Times New Roman"/>
          <w:sz w:val="24"/>
        </w:rPr>
        <w:t xml:space="preserve">) rather than the common-noun determiner (</w:t>
      </w:r>
      <w:r>
        <w:rPr>
          <w:rFonts w:ascii="Times New Roman" w:hAnsi="Times New Roman"/>
          <w:i/>
          <w:iCs/>
          <w:sz w:val="24"/>
        </w:rPr>
        <w:t xml:space="preserve">ny</w:t>
      </w:r>
      <w:r>
        <w:rPr>
          <w:rFonts w:ascii="Times New Roman" w:hAnsi="Times New Roman"/>
          <w:sz w:val="24"/>
        </w:rPr>
        <w:t xml:space="preserve">): if it does, the grammaticalization has occurred, regardless of the source construction’s internal structure.</w:t>
      </w:r>
    </w:p>
    <w:p>
      <w:pPr>
        <w:pStyle w:val="BodyText"/>
        <w:spacing w:line="480" w:lineRule="auto"/>
        <w:ind w:firstLine="720"/>
      </w:pPr>
      <w:r>
        <w:rPr>
          <w:rFonts w:ascii="Times New Roman" w:hAnsi="Times New Roman"/>
          <w:sz w:val="24"/>
        </w:rPr>
        <w:t xml:space="preserve">As far as I know, Malagasy is the</w:t>
      </w:r>
      <w:r>
        <w:rPr>
          <w:rFonts w:ascii="Times New Roman" w:hAnsi="Times New Roman"/>
          <w:sz w:val="24"/>
        </w:rPr>
        <w:t xml:space="preserve"> </w:t>
      </w:r>
      <w:r>
        <w:rPr>
          <w:rFonts w:ascii="Times New Roman" w:hAnsi="Times New Roman"/>
          <w:i/>
          <w:iCs/>
          <w:sz w:val="24"/>
        </w:rPr>
        <w:t xml:space="preserve">only</w:t>
      </w:r>
      <w:r>
        <w:rPr>
          <w:rFonts w:ascii="Times New Roman" w:hAnsi="Times New Roman"/>
          <w:sz w:val="24"/>
        </w:rPr>
        <w:t xml:space="preserve"> </w:t>
      </w:r>
      <w:r>
        <w:rPr>
          <w:rFonts w:ascii="Times New Roman" w:hAnsi="Times New Roman"/>
          <w:sz w:val="24"/>
        </w:rPr>
        <w:t xml:space="preserve">typological profile that fully disentangles the confounds in the English data: overt proper-name determiners separate proper-noun status from mere definiteness, and overt vocative morphology separates vocative function from argument licensing. The prediction is sharp, but testing it would require sustained fieldwork: elicitation of teknonym determiner selection across speakers of different social status, with controls for independent politeness factors affecting determiner choice. Detailed syntactic work on Zafimaniry teknonyms remains to be done.</w:t>
      </w:r>
    </w:p>
    <w:bookmarkEnd w:id="38"/>
    <w:bookmarkStart w:id="39" w:name="weaker-taboos"/>
    <w:p>
      <w:pPr>
        <w:pStyle w:val="Heading2"/>
        <w:spacing w:line="480" w:lineRule="auto"/>
      </w:pPr>
      <w:r>
        <w:rPr>
          <w:rFonts w:ascii="Times New Roman" w:hAnsi="Times New Roman"/>
        </w:rPr>
        <w:t xml:space="preserve">Weaker taboos</w:t>
      </w:r>
    </w:p>
    <w:p>
      <w:pPr>
        <w:pStyle w:val="FirstParagraph"/>
        <w:spacing w:line="480" w:lineRule="auto"/>
      </w:pPr>
      <w:r>
        <w:rPr>
          <w:rFonts w:ascii="Times New Roman" w:hAnsi="Times New Roman"/>
          <w:sz w:val="24"/>
        </w:rPr>
        <w:t xml:space="preserve">The converse prediction is equally important. In speech communities where the naming taboo is weaker (where children sometimes use parents’ first names, or where the taboo applies only in formal contexts), kinship terms should show less name-like syntax.</w:t>
      </w:r>
    </w:p>
    <w:p>
      <w:pPr>
        <w:pStyle w:val="BodyText"/>
        <w:spacing w:line="480" w:lineRule="auto"/>
        <w:ind w:firstLine="720"/>
      </w:pPr>
      <w:r>
        <w:rPr>
          <w:rFonts w:ascii="Times New Roman" w:hAnsi="Times New Roman"/>
          <w:sz w:val="24"/>
        </w:rPr>
        <w:t xml:space="preserve">Scandinavian languages would provide a useful test case: anecdotally, first-name address to parents is less marked in some families and regions than in mainstream Anglophone norms. If the mechanism is correct, kinship terms in such communities should show weaker name-like status effects by diagnostics appropriate to the language (e.g. reduced restriction to address contexts; weaker resistance to nominal modification). A complication is that Scandinavian languages differ in their determiner systems (suffixal definite articles, different patterns of bare nominal licensing), so any difference in kinship-term syntax would need to be calibrated against the baseline bare-nominal licensing in each specific language before attributing it to taboo strength. Systematic sociolinguistic work on such communities would provide a direct test.</w:t>
      </w:r>
    </w:p>
    <w:bookmarkEnd w:id="39"/>
    <w:bookmarkStart w:id="40" w:name="within-family-variation"/>
    <w:p>
      <w:pPr>
        <w:pStyle w:val="Heading2"/>
        <w:spacing w:line="480" w:lineRule="auto"/>
      </w:pPr>
      <w:r>
        <w:rPr>
          <w:rFonts w:ascii="Times New Roman" w:hAnsi="Times New Roman"/>
        </w:rPr>
        <w:t xml:space="preserve">Within-family variation</w:t>
      </w:r>
    </w:p>
    <w:p>
      <w:pPr>
        <w:pStyle w:val="FirstParagraph"/>
        <w:spacing w:line="480" w:lineRule="auto"/>
      </w:pPr>
      <w:r>
        <w:rPr>
          <w:rFonts w:ascii="Times New Roman" w:hAnsi="Times New Roman"/>
          <w:sz w:val="24"/>
        </w:rPr>
        <w:t xml:space="preserve">The mechanism predicts within-term variation across families. Terms like</w:t>
      </w:r>
      <w:r>
        <w:rPr>
          <w:rFonts w:ascii="Times New Roman" w:hAnsi="Times New Roman"/>
          <w:sz w:val="24"/>
        </w:rPr>
        <w:t xml:space="preserve"> </w:t>
      </w:r>
      <w:r>
        <w:rPr>
          <w:rFonts w:ascii="Times New Roman" w:hAnsi="Times New Roman"/>
          <w:i/>
          <w:iCs/>
          <w:sz w:val="24"/>
        </w:rPr>
        <w:t xml:space="preserve">son</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daughter</w:t>
      </w:r>
      <w:r>
        <w:rPr>
          <w:rFonts w:ascii="Times New Roman" w:hAnsi="Times New Roman"/>
          <w:sz w:val="24"/>
        </w:rPr>
        <w:t xml:space="preserve"> </w:t>
      </w:r>
      <w:r>
        <w:rPr>
          <w:rFonts w:ascii="Times New Roman" w:hAnsi="Times New Roman"/>
          <w:sz w:val="24"/>
        </w:rPr>
        <w:t xml:space="preserve">are typically low-vocative: most parents address children by first name, so these kinship terms remain common nouns. But some families do use them vocatively (</w:t>
      </w:r>
      <w:r>
        <w:rPr>
          <w:rFonts w:ascii="Times New Roman" w:hAnsi="Times New Roman"/>
          <w:i/>
          <w:iCs/>
          <w:sz w:val="24"/>
        </w:rPr>
        <w:t xml:space="preserve">Son, come here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Daughter, listen to me</w:t>
      </w:r>
      <w:r>
        <w:rPr>
          <w:rFonts w:ascii="Times New Roman" w:hAnsi="Times New Roman"/>
          <w:sz w:val="24"/>
        </w:rPr>
        <w:t xml:space="preserve">). If vocative frequency drives grammaticalization, families with higher vocative use of</w:t>
      </w:r>
      <w:r>
        <w:rPr>
          <w:rFonts w:ascii="Times New Roman" w:hAnsi="Times New Roman"/>
          <w:sz w:val="24"/>
        </w:rPr>
        <w:t xml:space="preserve"> </w:t>
      </w:r>
      <w:r>
        <w:rPr>
          <w:rFonts w:ascii="Times New Roman" w:hAnsi="Times New Roman"/>
          <w:i/>
          <w:iCs/>
          <w:sz w:val="24"/>
        </w:rPr>
        <w:t xml:space="preserve">son</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daughter</w:t>
      </w:r>
      <w:r>
        <w:rPr>
          <w:rFonts w:ascii="Times New Roman" w:hAnsi="Times New Roman"/>
          <w:sz w:val="24"/>
        </w:rPr>
        <w:t xml:space="preserve"> </w:t>
      </w:r>
      <w:r>
        <w:rPr>
          <w:rFonts w:ascii="Times New Roman" w:hAnsi="Times New Roman"/>
          <w:sz w:val="24"/>
        </w:rPr>
        <w:t xml:space="preserve">should also show higher bare-argument rates:</w:t>
      </w:r>
      <w:r>
        <w:rPr>
          <w:rFonts w:ascii="Times New Roman" w:hAnsi="Times New Roman"/>
          <w:sz w:val="24"/>
        </w:rPr>
        <w:t xml:space="preserve"> </w:t>
      </w:r>
      <w:r>
        <w:rPr>
          <w:rFonts w:ascii="Times New Roman" w:hAnsi="Times New Roman"/>
          <w:i/>
          <w:iCs/>
          <w:sz w:val="24"/>
        </w:rPr>
        <w:t xml:space="preserve">Son said he’d be late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Daughter is visiting tomorrow</w:t>
      </w:r>
      <w:r>
        <w:rPr>
          <w:rFonts w:ascii="Times New Roman" w:hAnsi="Times New Roman"/>
          <w:sz w:val="24"/>
        </w:rPr>
        <w:t xml:space="preserve">. This would provide a within-term, between-family test complementing the between-term analysis. A complication is the register confound: if conservative registers independently license archaic or formal constructions, the bare-argument licensing might track register rather than vocative frequency. Distinguishing these requires comparing bare-argument rates between families matched for register but differing in vocative frequency. The challenge is data: testing requires familect-level corpus annotation to track vocative frequency and bare-argument licensing for the same terms within the same families.</w:t>
      </w:r>
    </w:p>
    <w:bookmarkEnd w:id="40"/>
    <w:bookmarkStart w:id="41" w:name="kinship-terms-as-honorifics"/>
    <w:p>
      <w:pPr>
        <w:pStyle w:val="Heading2"/>
        <w:spacing w:line="480" w:lineRule="auto"/>
      </w:pPr>
      <w:r>
        <w:rPr>
          <w:rFonts w:ascii="Times New Roman" w:hAnsi="Times New Roman"/>
        </w:rPr>
        <w:t xml:space="preserve">Kinship terms as honorifics</w:t>
      </w:r>
    </w:p>
    <w:p>
      <w:pPr>
        <w:pStyle w:val="FirstParagraph"/>
        <w:spacing w:line="480" w:lineRule="auto"/>
      </w:pPr>
      <w:r>
        <w:rPr>
          <w:rFonts w:ascii="Times New Roman" w:hAnsi="Times New Roman"/>
          <w:sz w:val="24"/>
        </w:rPr>
        <w:t xml:space="preserve">The honorific prediction is testable within English. Kinship terms used as quasi-honorifics (</w:t>
      </w:r>
      <w:r>
        <w:rPr>
          <w:rFonts w:ascii="Times New Roman" w:hAnsi="Times New Roman"/>
          <w:i/>
          <w:iCs/>
          <w:sz w:val="24"/>
        </w:rPr>
        <w:t xml:space="preserve">Auntie Sarah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Uncle John</w:t>
      </w:r>
      <w:r>
        <w:rPr>
          <w:rFonts w:ascii="Times New Roman" w:hAnsi="Times New Roman"/>
          <w:sz w:val="24"/>
        </w:rPr>
        <w:t xml:space="preserve">) show intermediate proper-noun properties, while those used as full titles in religious contexts (</w:t>
      </w:r>
      <w:r>
        <w:rPr>
          <w:rFonts w:ascii="Times New Roman" w:hAnsi="Times New Roman"/>
          <w:i/>
          <w:iCs/>
          <w:sz w:val="24"/>
        </w:rPr>
        <w:t xml:space="preserve">Brother John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Sister Mary</w:t>
      </w:r>
      <w:r>
        <w:rPr>
          <w:rFonts w:ascii="Times New Roman" w:hAnsi="Times New Roman"/>
          <w:sz w:val="24"/>
        </w:rPr>
        <w:t xml:space="preserve">) show robust proper-noun licensing, including bare subjects (</w:t>
      </w:r>
      <w:r>
        <w:rPr>
          <w:rFonts w:ascii="Times New Roman" w:hAnsi="Times New Roman"/>
          <w:i/>
          <w:iCs/>
          <w:sz w:val="24"/>
        </w:rPr>
        <w:t xml:space="preserve">Sister said we could make no such engagements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Hodgkin (1927)</w:t>
      </w:r>
      <w:r>
        <w:rPr>
          <w:rFonts w:ascii="Times New Roman" w:hAnsi="Times New Roman"/>
          <w:sz w:val="24"/>
        </w:rPr>
        <w:t xml:space="preserve">).</w:t>
      </w:r>
    </w:p>
    <w:bookmarkEnd w:id="41"/>
    <w:bookmarkStart w:id="42" w:name="adult-acquisition-in-laws"/>
    <w:p>
      <w:pPr>
        <w:pStyle w:val="Heading2"/>
        <w:spacing w:line="480" w:lineRule="auto"/>
      </w:pPr>
      <w:r>
        <w:rPr>
          <w:rFonts w:ascii="Times New Roman" w:hAnsi="Times New Roman"/>
        </w:rPr>
        <w:t xml:space="preserve">Adult acquisition: in-laws</w:t>
      </w:r>
    </w:p>
    <w:p>
      <w:pPr>
        <w:pStyle w:val="FirstParagraph"/>
        <w:spacing w:line="480" w:lineRule="auto"/>
      </w:pPr>
      <w:r>
        <w:rPr>
          <w:rFonts w:ascii="Times New Roman" w:hAnsi="Times New Roman"/>
          <w:sz w:val="24"/>
        </w:rPr>
        <w:t xml:space="preserve">The mechanism extends beyond parent-child address. Adults navigating in-law relationships face analogous pressures: when does one start calling a mother-in-law</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The threshold marks a relational shift, and if the taboo-driven mechanism is correct, those who adopt</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should show corresponding bare-NP usage –</w:t>
      </w:r>
      <w:r>
        <w:rPr>
          <w:rFonts w:ascii="Times New Roman" w:hAnsi="Times New Roman"/>
          <w:sz w:val="24"/>
        </w:rPr>
        <w:t xml:space="preserve"> </w:t>
      </w:r>
      <w:r>
        <w:rPr>
          <w:rFonts w:ascii="Times New Roman" w:hAnsi="Times New Roman"/>
          <w:i/>
          <w:iCs/>
          <w:sz w:val="24"/>
        </w:rPr>
        <w:t xml:space="preserve">Mom called this morning</w:t>
      </w:r>
      <w:r>
        <w:rPr>
          <w:rFonts w:ascii="Times New Roman" w:hAnsi="Times New Roman"/>
          <w:sz w:val="24"/>
        </w:rPr>
        <w:t xml:space="preserve"> </w:t>
      </w:r>
      <w:r>
        <w:rPr>
          <w:rFonts w:ascii="Times New Roman" w:hAnsi="Times New Roman"/>
          <w:sz w:val="24"/>
        </w:rPr>
        <w:t xml:space="preserve">rather than</w:t>
      </w:r>
      <w:r>
        <w:rPr>
          <w:rFonts w:ascii="Times New Roman" w:hAnsi="Times New Roman"/>
          <w:sz w:val="24"/>
        </w:rPr>
        <w:t xml:space="preserve"> </w:t>
      </w:r>
      <w:r>
        <w:rPr>
          <w:rFonts w:ascii="Times New Roman" w:hAnsi="Times New Roman"/>
          <w:i/>
          <w:iCs/>
          <w:sz w:val="24"/>
        </w:rPr>
        <w:t xml:space="preserve">My mother-in-law called</w:t>
      </w:r>
      <w:r>
        <w:rPr>
          <w:rFonts w:ascii="Times New Roman" w:hAnsi="Times New Roman"/>
          <w:sz w:val="24"/>
        </w:rPr>
        <w:t xml:space="preserve">. This adult acquisition case offers a potential test of the mechanism independent of childhood entrenchment: it predicts that adoption of the kin term as an address form should precede (and enable) its use in bare argument position.</w:t>
      </w:r>
    </w:p>
    <w:p>
      <w:pPr>
        <w:pStyle w:val="BodyText"/>
        <w:spacing w:line="480" w:lineRule="auto"/>
        <w:ind w:firstLine="720"/>
      </w:pPr>
      <w:r>
        <w:rPr>
          <w:rFonts w:ascii="Times New Roman" w:hAnsi="Times New Roman"/>
          <w:sz w:val="24"/>
        </w:rPr>
        <w:t xml:space="preserve">Cross-linguistic work on kinship semantics is extensive; cross-linguistic work on kinship-term</w:t>
      </w:r>
      <w:r>
        <w:rPr>
          <w:rFonts w:ascii="Times New Roman" w:hAnsi="Times New Roman"/>
          <w:sz w:val="24"/>
        </w:rPr>
        <w:t xml:space="preserve"> </w:t>
      </w:r>
      <w:r>
        <w:rPr>
          <w:rFonts w:ascii="Times New Roman" w:hAnsi="Times New Roman"/>
          <w:i/>
          <w:iCs/>
          <w:sz w:val="24"/>
        </w:rPr>
        <w:t xml:space="preserve">syntax</w:t>
      </w:r>
      <w:r>
        <w:rPr>
          <w:rFonts w:ascii="Times New Roman" w:hAnsi="Times New Roman"/>
          <w:sz w:val="24"/>
        </w:rPr>
        <w:t xml:space="preserve"> </w:t>
      </w:r>
      <w:r>
        <w:rPr>
          <w:rFonts w:ascii="Times New Roman" w:hAnsi="Times New Roman"/>
          <w:sz w:val="24"/>
        </w:rPr>
        <w:t xml:space="preserve">is thinner. The prediction here concerns the interaction between address-form taboos and determiner syntax – a narrower question than the semantic structure of kinship systems. Testing the prediction requires careful attention to bare nominal licensing in each language, controlling for the language’s more general patterns of article use (or absence). The predictions only get traction in languages with a deital cluster.</w:t>
      </w:r>
    </w:p>
    <w:p>
      <w:pPr>
        <w:pStyle w:val="BodyText"/>
        <w:spacing w:line="480" w:lineRule="auto"/>
        <w:ind w:firstLine="720"/>
      </w:pPr>
      <w:r>
        <w:rPr>
          <w:rFonts w:ascii="Times New Roman" w:hAnsi="Times New Roman"/>
          <w:sz w:val="24"/>
        </w:rPr>
        <w:t xml:space="preserve">I restrict the analysis to English, where both the sociolinguistic and syntactic facts are well documented. The cross-linguistic predictions are offered as consequences of the mechanism, not as confirmed findings. Several limitations warrant acknowledgment: the diachronic trajectory of bare kin-term stabilization remains unexamined (see Section </w:t>
      </w:r>
      <w:hyperlink w:anchor="sec:objections">
        <w:r>
          <w:rPr>
            <w:rStyle w:val="Hyperlink"/>
          </w:rPr>
          <w:t xml:space="preserve">6</w:t>
        </w:r>
      </w:hyperlink>
      <w:r>
        <w:rPr>
          <w:rFonts w:ascii="Times New Roman" w:hAnsi="Times New Roman"/>
          <w:sz w:val="24"/>
        </w:rPr>
        <w:t xml:space="preserve">); and variation across class, region, ethnicity, and family structure deserves fuller treatment.</w:t>
      </w:r>
    </w:p>
    <w:p>
      <w:pPr>
        <w:pStyle w:val="BodyText"/>
        <w:spacing w:line="480" w:lineRule="auto"/>
        <w:ind w:firstLine="720"/>
      </w:pPr>
      <w:r>
        <w:rPr>
          <w:rFonts w:ascii="Times New Roman" w:hAnsi="Times New Roman"/>
          <w:sz w:val="24"/>
        </w:rPr>
        <w:t xml:space="preserve">The mechanism generates specific within-English predictions about community variation. British upper-class families, where first-name use to parents has historically been less marked, would be one test case. Conversely, African American English varieties and some Southern U.S. varieties show distinctive kinship-address patterns</w:t>
      </w:r>
      <w:r>
        <w:rPr>
          <w:rFonts w:ascii="Times New Roman" w:hAnsi="Times New Roman"/>
          <w:sz w:val="24"/>
        </w:rPr>
        <w:t xml:space="preserve"> </w:t>
      </w:r>
      <w:r>
        <w:rPr>
          <w:rFonts w:ascii="Times New Roman" w:hAnsi="Times New Roman"/>
          <w:sz w:val="24"/>
        </w:rPr>
        <w:t xml:space="preserve">(Wolfram &amp; Schilling 2015)</w:t>
      </w:r>
      <w:r>
        <w:rPr>
          <w:rFonts w:ascii="Times New Roman" w:hAnsi="Times New Roman"/>
          <w:sz w:val="24"/>
        </w:rPr>
        <w:t xml:space="preserve"> </w:t>
      </w:r>
      <w:r>
        <w:rPr>
          <w:rFonts w:ascii="Times New Roman" w:hAnsi="Times New Roman"/>
          <w:sz w:val="24"/>
        </w:rPr>
        <w:t xml:space="preserve">that the mechanism predicts should correlate with distinctive bare-argument licensing. Same-sex parent families provide a natural experiment: when two parents share a kinship term, differentiation strategies (e.g.,</w:t>
      </w:r>
      <w:r>
        <w:rPr>
          <w:rFonts w:ascii="Times New Roman" w:hAnsi="Times New Roman"/>
          <w:sz w:val="24"/>
        </w:rPr>
        <w:t xml:space="preserve"> </w:t>
      </w:r>
      <w:r>
        <w:rPr>
          <w:rFonts w:ascii="Times New Roman" w:hAnsi="Times New Roman"/>
          <w:i/>
          <w:iCs/>
          <w:sz w:val="24"/>
        </w:rPr>
        <w:t xml:space="preserve">Mommy</w:t>
      </w:r>
      <w:r>
        <w:rPr>
          <w:rFonts w:ascii="Times New Roman" w:hAnsi="Times New Roman"/>
          <w:sz w:val="24"/>
        </w:rPr>
        <w:t xml:space="preserve"> </w:t>
      </w:r>
      <w:r>
        <w:rPr>
          <w:rFonts w:ascii="Times New Roman" w:hAnsi="Times New Roman"/>
          <w:sz w:val="24"/>
        </w:rPr>
        <w:t xml:space="preserve">vs. </w:t>
      </w:r>
      <w:r>
        <w:rPr>
          <w:rFonts w:ascii="Times New Roman" w:hAnsi="Times New Roman"/>
          <w:i/>
          <w:iCs/>
          <w:sz w:val="24"/>
        </w:rPr>
        <w:t xml:space="preserve">Mama</w:t>
      </w:r>
      <w:r>
        <w:rPr>
          <w:rFonts w:ascii="Times New Roman" w:hAnsi="Times New Roman"/>
          <w:sz w:val="24"/>
        </w:rPr>
        <w:t xml:space="preserve">) may produce different frequency profiles and, the mechanism predicts, different degrees of proper-noun entrenchment for each variant. These predictions remain untested but are falsifiable with appropriately stratified corpus or survey data.</w:t>
      </w:r>
    </w:p>
    <w:bookmarkEnd w:id="42"/>
    <w:bookmarkEnd w:id="43"/>
    <w:bookmarkStart w:id="49" w:name="sec:objections"/>
    <w:p>
      <w:pPr>
        <w:pStyle w:val="Heading1"/>
        <w:spacing w:line="480" w:lineRule="auto"/>
      </w:pPr>
      <w:r>
        <w:rPr>
          <w:rFonts w:ascii="Times New Roman" w:hAnsi="Times New Roman"/>
        </w:rPr>
        <w:t xml:space="preserve">Objections and alternatives</w:t>
      </w:r>
    </w:p>
    <w:p>
      <w:pPr>
        <w:pStyle w:val="FirstParagraph"/>
        <w:spacing w:line="480" w:lineRule="auto"/>
      </w:pPr>
      <w:r>
        <w:rPr>
          <w:rFonts w:ascii="Times New Roman" w:hAnsi="Times New Roman"/>
          <w:sz w:val="24"/>
        </w:rPr>
        <w:t xml:space="preserve">The proposal connects sociolinguistic facts to syntactic patterns through a frequency-based mechanism. Several objections and alternative explanations deserve consideration.</w:t>
      </w:r>
    </w:p>
    <w:bookmarkStart w:id="44" w:name="objection-vocatives-dont-generalize"/>
    <w:p>
      <w:pPr>
        <w:pStyle w:val="Heading2"/>
        <w:spacing w:line="480" w:lineRule="auto"/>
      </w:pPr>
      <w:r>
        <w:rPr>
          <w:rFonts w:ascii="Times New Roman" w:hAnsi="Times New Roman"/>
        </w:rPr>
        <w:t xml:space="preserve">Objection: vocatives don’t generalize</w:t>
      </w:r>
    </w:p>
    <w:p>
      <w:pPr>
        <w:pStyle w:val="FirstParagraph"/>
        <w:spacing w:line="480" w:lineRule="auto"/>
      </w:pPr>
      <w:r>
        <w:rPr>
          <w:rFonts w:ascii="Times New Roman" w:hAnsi="Times New Roman"/>
          <w:sz w:val="24"/>
        </w:rPr>
        <w:t xml:space="preserve">A common objection is that many nouns occur in vocative function without acquiring proper-noun syntax.</w:t>
      </w:r>
      <w:r>
        <w:rPr>
          <w:rFonts w:ascii="Times New Roman" w:hAnsi="Times New Roman"/>
          <w:sz w:val="24"/>
        </w:rPr>
        <w:t xml:space="preserve"> </w:t>
      </w:r>
      <w:r>
        <w:rPr>
          <w:rFonts w:ascii="Times New Roman" w:hAnsi="Times New Roman"/>
          <w:i/>
          <w:iCs/>
          <w:sz w:val="24"/>
        </w:rPr>
        <w:t xml:space="preserve">Waiter!</w:t>
      </w:r>
      <w:r>
        <w:rPr>
          <w:rFonts w:ascii="Times New Roman" w:hAnsi="Times New Roman"/>
          <w:sz w:val="24"/>
        </w:rPr>
        <w:t xml:space="preserve"> </w:t>
      </w:r>
      <w:r>
        <w:rPr>
          <w:rFonts w:ascii="Times New Roman" w:hAnsi="Times New Roman"/>
          <w:sz w:val="24"/>
        </w:rPr>
        <w:t xml:space="preserve">is a perfectly good vocative, but *</w:t>
      </w:r>
      <w:r>
        <w:rPr>
          <w:rFonts w:ascii="Times New Roman" w:hAnsi="Times New Roman"/>
          <w:i/>
          <w:iCs/>
          <w:sz w:val="24"/>
        </w:rPr>
        <w:t xml:space="preserve">Waiter called</w:t>
      </w:r>
      <w:r>
        <w:rPr>
          <w:rFonts w:ascii="Times New Roman" w:hAnsi="Times New Roman"/>
          <w:sz w:val="24"/>
        </w:rPr>
        <w:t xml:space="preserve"> </w:t>
      </w:r>
      <w:r>
        <w:rPr>
          <w:rFonts w:ascii="Times New Roman" w:hAnsi="Times New Roman"/>
          <w:sz w:val="24"/>
        </w:rPr>
        <w:t xml:space="preserve">(with definite, individuated reading) is ungrammatical. Why should kinship terms be different?</w:t>
      </w:r>
    </w:p>
    <w:p>
      <w:pPr>
        <w:pStyle w:val="BodyText"/>
        <w:spacing w:line="480" w:lineRule="auto"/>
        <w:ind w:firstLine="720"/>
      </w:pPr>
      <w:r>
        <w:rPr>
          <w:rFonts w:ascii="Times New Roman" w:hAnsi="Times New Roman"/>
          <w:sz w:val="24"/>
        </w:rPr>
        <w:t xml:space="preserve">The reply hinges on the distinction between</w:t>
      </w:r>
      <w:r>
        <w:rPr>
          <w:rFonts w:ascii="Times New Roman" w:hAnsi="Times New Roman"/>
          <w:sz w:val="24"/>
        </w:rPr>
        <w:t xml:space="preserve"> </w:t>
      </w:r>
      <w:r>
        <w:rPr>
          <w:rFonts w:ascii="Times New Roman" w:hAnsi="Times New Roman"/>
          <w:i/>
          <w:iCs/>
          <w:sz w:val="24"/>
        </w:rPr>
        <w:t xml:space="preserve">role-anchored definites</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Waiter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Doctor</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Boss</w:t>
      </w:r>
      <w:r>
        <w:rPr>
          <w:rFonts w:ascii="Times New Roman" w:hAnsi="Times New Roman"/>
          <w:sz w:val="24"/>
        </w:rPr>
        <w:t xml:space="preserve">) and</w:t>
      </w:r>
      <w:r>
        <w:rPr>
          <w:rFonts w:ascii="Times New Roman" w:hAnsi="Times New Roman"/>
          <w:sz w:val="24"/>
        </w:rPr>
        <w:t xml:space="preserve"> </w:t>
      </w:r>
      <w:r>
        <w:rPr>
          <w:rFonts w:ascii="Times New Roman" w:hAnsi="Times New Roman"/>
          <w:i/>
          <w:iCs/>
          <w:sz w:val="24"/>
        </w:rPr>
        <w:t xml:space="preserve">conventionalized personal name substitutes</w:t>
      </w:r>
      <w:r>
        <w:rPr>
          <w:rFonts w:ascii="Times New Roman" w:hAnsi="Times New Roman"/>
          <w:sz w:val="24"/>
        </w:rPr>
        <w:t xml:space="preserve"> </w:t>
      </w:r>
      <w:r>
        <w:rPr>
          <w:rFonts w:ascii="Times New Roman" w:hAnsi="Times New Roman"/>
          <w:sz w:val="24"/>
        </w:rPr>
        <w:t xml:space="preserve">(</w:t>
      </w:r>
      <w:r>
        <w:rPr>
          <w:rFonts w:ascii="Times New Roman" w:hAnsi="Times New Roman"/>
          <w:i/>
          <w:iCs/>
          <w:sz w:val="24"/>
        </w:rPr>
        <w:t xml:space="preserve">Mom</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Role nouns can be used vocatively and may license bare singulars in domain-bound contexts (</w:t>
      </w:r>
      <w:r>
        <w:rPr>
          <w:rFonts w:ascii="Times New Roman" w:hAnsi="Times New Roman"/>
          <w:i/>
          <w:iCs/>
          <w:sz w:val="24"/>
        </w:rPr>
        <w:t xml:space="preserve">Boss is here</w:t>
      </w:r>
      <w:r>
        <w:rPr>
          <w:rFonts w:ascii="Times New Roman" w:hAnsi="Times New Roman"/>
          <w:sz w:val="24"/>
        </w:rPr>
        <w:t xml:space="preserve"> </w:t>
      </w:r>
      <w:r>
        <w:rPr>
          <w:rFonts w:ascii="Times New Roman" w:hAnsi="Times New Roman"/>
          <w:sz w:val="24"/>
        </w:rPr>
        <w:t xml:space="preserve">in workplace narrative), but they don’t become the</w:t>
      </w:r>
      <w:r>
        <w:rPr>
          <w:rFonts w:ascii="Times New Roman" w:hAnsi="Times New Roman"/>
          <w:sz w:val="24"/>
        </w:rPr>
        <w:t xml:space="preserve"> </w:t>
      </w:r>
      <w:r>
        <w:rPr>
          <w:rFonts w:ascii="Times New Roman" w:hAnsi="Times New Roman"/>
          <w:i/>
          <w:iCs/>
          <w:sz w:val="24"/>
        </w:rPr>
        <w:t xml:space="preserve">default cross-construction name</w:t>
      </w:r>
      <w:r>
        <w:rPr>
          <w:rFonts w:ascii="Times New Roman" w:hAnsi="Times New Roman"/>
          <w:sz w:val="24"/>
        </w:rPr>
        <w:t xml:space="preserve"> </w:t>
      </w:r>
      <w:r>
        <w:rPr>
          <w:rFonts w:ascii="Times New Roman" w:hAnsi="Times New Roman"/>
          <w:sz w:val="24"/>
        </w:rPr>
        <w:t xml:space="preserve">for referring to a specific individual. Indeed,</w:t>
      </w:r>
      <w:r>
        <w:rPr>
          <w:rFonts w:ascii="Times New Roman" w:hAnsi="Times New Roman"/>
          <w:sz w:val="24"/>
        </w:rPr>
        <w:t xml:space="preserve"> </w:t>
      </w:r>
      <w:r>
        <w:rPr>
          <w:rFonts w:ascii="Times New Roman" w:hAnsi="Times New Roman"/>
          <w:i/>
          <w:iCs/>
          <w:sz w:val="24"/>
        </w:rPr>
        <w:t xml:space="preserve">Boss is here</w:t>
      </w:r>
      <w:r>
        <w:rPr>
          <w:rFonts w:ascii="Times New Roman" w:hAnsi="Times New Roman"/>
          <w:sz w:val="24"/>
        </w:rPr>
        <w:t xml:space="preserve"> </w:t>
      </w:r>
      <w:r>
        <w:rPr>
          <w:rFonts w:ascii="Times New Roman" w:hAnsi="Times New Roman"/>
          <w:sz w:val="24"/>
        </w:rPr>
        <w:t xml:space="preserve">shows exactly the intermediate proper-noun properties the mechanism predicts for a form with moderate name-position exposure: it’s licensed in domain-bound contexts but doesn’t generalize to</w:t>
      </w:r>
      <w:r>
        <w:rPr>
          <w:rFonts w:ascii="Times New Roman" w:hAnsi="Times New Roman"/>
          <w:sz w:val="24"/>
        </w:rPr>
        <w:t xml:space="preserve"> </w:t>
      </w:r>
      <w:r>
        <w:rPr>
          <w:rFonts w:ascii="Times New Roman" w:hAnsi="Times New Roman"/>
          <w:i/>
          <w:iCs/>
          <w:sz w:val="24"/>
        </w:rPr>
        <w:t xml:space="preserve">Boss called yesterday</w:t>
      </w:r>
      <w:r>
        <w:rPr>
          <w:rFonts w:ascii="Times New Roman" w:hAnsi="Times New Roman"/>
          <w:sz w:val="24"/>
        </w:rPr>
        <w:t xml:space="preserve"> </w:t>
      </w:r>
      <w:r>
        <w:rPr>
          <w:rFonts w:ascii="Times New Roman" w:hAnsi="Times New Roman"/>
          <w:sz w:val="24"/>
        </w:rPr>
        <w:t xml:space="preserve">in the way</w:t>
      </w:r>
      <w:r>
        <w:rPr>
          <w:rFonts w:ascii="Times New Roman" w:hAnsi="Times New Roman"/>
          <w:sz w:val="24"/>
        </w:rPr>
        <w:t xml:space="preserve"> </w:t>
      </w:r>
      <w:r>
        <w:rPr>
          <w:rFonts w:ascii="Times New Roman" w:hAnsi="Times New Roman"/>
          <w:i/>
          <w:iCs/>
          <w:sz w:val="24"/>
        </w:rPr>
        <w:t xml:space="preserve">Mom called yesterday</w:t>
      </w:r>
      <w:r>
        <w:rPr>
          <w:rFonts w:ascii="Times New Roman" w:hAnsi="Times New Roman"/>
          <w:sz w:val="24"/>
        </w:rPr>
        <w:t xml:space="preserve"> </w:t>
      </w:r>
      <w:r>
        <w:rPr>
          <w:rFonts w:ascii="Times New Roman" w:hAnsi="Times New Roman"/>
          <w:sz w:val="24"/>
        </w:rPr>
        <w:t xml:space="preserve">does. The gradience confirms the mechanism.</w:t>
      </w:r>
    </w:p>
    <w:p>
      <w:pPr>
        <w:pStyle w:val="BodyText"/>
        <w:spacing w:line="480" w:lineRule="auto"/>
        <w:ind w:firstLine="720"/>
      </w:pPr>
      <w:r>
        <w:rPr>
          <w:rFonts w:ascii="Times New Roman" w:hAnsi="Times New Roman"/>
          <w:sz w:val="24"/>
        </w:rPr>
        <w:t xml:space="preserve">Of course, there’s no taboo forcing</w:t>
      </w:r>
      <w:r>
        <w:rPr>
          <w:rFonts w:ascii="Times New Roman" w:hAnsi="Times New Roman"/>
          <w:sz w:val="24"/>
        </w:rPr>
        <w:t xml:space="preserve"> </w:t>
      </w:r>
      <w:r>
        <w:rPr>
          <w:rFonts w:ascii="Times New Roman" w:hAnsi="Times New Roman"/>
          <w:i/>
          <w:iCs/>
          <w:sz w:val="24"/>
        </w:rPr>
        <w:t xml:space="preserve">Waiter</w:t>
      </w:r>
      <w:r>
        <w:rPr>
          <w:rFonts w:ascii="Times New Roman" w:hAnsi="Times New Roman"/>
          <w:sz w:val="24"/>
        </w:rPr>
        <w:t xml:space="preserve"> </w:t>
      </w:r>
      <w:r>
        <w:rPr>
          <w:rFonts w:ascii="Times New Roman" w:hAnsi="Times New Roman"/>
          <w:sz w:val="24"/>
        </w:rPr>
        <w:t xml:space="preserve">into name position. A customer uses</w:t>
      </w:r>
      <w:r>
        <w:rPr>
          <w:rFonts w:ascii="Times New Roman" w:hAnsi="Times New Roman"/>
          <w:sz w:val="24"/>
        </w:rPr>
        <w:t xml:space="preserve"> </w:t>
      </w:r>
      <w:r>
        <w:rPr>
          <w:rFonts w:ascii="Times New Roman" w:hAnsi="Times New Roman"/>
          <w:i/>
          <w:iCs/>
          <w:sz w:val="24"/>
        </w:rPr>
        <w:t xml:space="preserve">Waiter!</w:t>
      </w:r>
      <w:r>
        <w:rPr>
          <w:rFonts w:ascii="Times New Roman" w:hAnsi="Times New Roman"/>
          <w:sz w:val="24"/>
        </w:rPr>
        <w:t xml:space="preserve"> </w:t>
      </w:r>
      <w:r>
        <w:rPr>
          <w:rFonts w:ascii="Times New Roman" w:hAnsi="Times New Roman"/>
          <w:sz w:val="24"/>
        </w:rPr>
        <w:t xml:space="preserve">because they don’t know the server’s name, not because using it would be socially prohibited. If they learned the name, they could use it freely. The kinship case inverts this: the child knows perfectly well that their father is called Nick – the prohibition is on deploying that knowledge. The taboo operates not on ignorance but on suppression, and suppression sustained over years is what forces the kinship term into name position persistently enough to produce entrenchment.</w:t>
      </w:r>
    </w:p>
    <w:p>
      <w:pPr>
        <w:pStyle w:val="BodyText"/>
        <w:spacing w:line="480" w:lineRule="auto"/>
        <w:ind w:firstLine="720"/>
      </w:pPr>
      <w:r>
        <w:rPr>
          <w:rFonts w:ascii="Times New Roman" w:hAnsi="Times New Roman"/>
          <w:sz w:val="24"/>
        </w:rPr>
        <w:t xml:space="preserve">The case of</w:t>
      </w:r>
      <w:r>
        <w:rPr>
          <w:rFonts w:ascii="Times New Roman" w:hAnsi="Times New Roman"/>
          <w:sz w:val="24"/>
        </w:rPr>
        <w:t xml:space="preserve"> </w:t>
      </w:r>
      <w:r>
        <w:rPr>
          <w:rFonts w:ascii="Times New Roman" w:hAnsi="Times New Roman"/>
          <w:i/>
          <w:iCs/>
          <w:sz w:val="24"/>
        </w:rPr>
        <w:t xml:space="preserve">Teacher</w:t>
      </w:r>
      <w:r>
        <w:rPr>
          <w:rFonts w:ascii="Times New Roman" w:hAnsi="Times New Roman"/>
          <w:sz w:val="24"/>
        </w:rPr>
        <w:t xml:space="preserve"> </w:t>
      </w:r>
      <w:r>
        <w:rPr>
          <w:rFonts w:ascii="Times New Roman" w:hAnsi="Times New Roman"/>
          <w:sz w:val="24"/>
        </w:rPr>
        <w:t xml:space="preserve">is instructive. In primary-school contexts, young children address teachers vocatively (</w:t>
      </w:r>
      <w:r>
        <w:rPr>
          <w:rFonts w:ascii="Times New Roman" w:hAnsi="Times New Roman"/>
          <w:i/>
          <w:iCs/>
          <w:sz w:val="24"/>
        </w:rPr>
        <w:t xml:space="preserve">Teacher, I have a question</w:t>
      </w:r>
      <w:r>
        <w:rPr>
          <w:rFonts w:ascii="Times New Roman" w:hAnsi="Times New Roman"/>
          <w:sz w:val="24"/>
        </w:rPr>
        <w:t xml:space="preserve">) and may produce bare subjects (</w:t>
      </w:r>
      <w:r>
        <w:rPr>
          <w:rFonts w:ascii="Times New Roman" w:hAnsi="Times New Roman"/>
          <w:sz w:val="24"/>
          <w:vertAlign w:val="superscript"/>
        </w:rPr>
        <w:t xml:space="preserve">?</w:t>
      </w:r>
      <w:r>
        <w:rPr>
          <w:rFonts w:ascii="Times New Roman" w:hAnsi="Times New Roman"/>
          <w:i/>
          <w:iCs/>
          <w:sz w:val="24"/>
        </w:rPr>
        <w:t xml:space="preserve">Teacher’s here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vertAlign w:val="superscript"/>
        </w:rPr>
        <w:t xml:space="preserve">?</w:t>
      </w:r>
      <w:r>
        <w:rPr>
          <w:rFonts w:ascii="Times New Roman" w:hAnsi="Times New Roman"/>
          <w:i/>
          <w:iCs/>
          <w:sz w:val="24"/>
        </w:rPr>
        <w:t xml:space="preserve">Teacher said we could</w:t>
      </w:r>
      <w:r>
        <w:rPr>
          <w:rFonts w:ascii="Times New Roman" w:hAnsi="Times New Roman"/>
          <w:sz w:val="24"/>
        </w:rPr>
        <w:t xml:space="preserve">). These uses are marginal but better than</w:t>
      </w:r>
      <w:r>
        <w:rPr>
          <w:rFonts w:ascii="Times New Roman" w:hAnsi="Times New Roman"/>
          <w:sz w:val="24"/>
        </w:rPr>
        <w:t xml:space="preserve"> </w:t>
      </w:r>
      <w:r>
        <w:rPr>
          <w:rFonts w:ascii="Times New Roman" w:hAnsi="Times New Roman"/>
          <w:i/>
          <w:iCs/>
          <w:sz w:val="24"/>
        </w:rPr>
        <w:t xml:space="preserve">Waiter</w:t>
      </w:r>
      <w:r>
        <w:rPr>
          <w:rFonts w:ascii="Times New Roman" w:hAnsi="Times New Roman"/>
          <w:sz w:val="24"/>
        </w:rPr>
        <w:t xml:space="preserve">, paralleling the intermediate status of</w:t>
      </w:r>
      <w:r>
        <w:rPr>
          <w:rFonts w:ascii="Times New Roman" w:hAnsi="Times New Roman"/>
          <w:sz w:val="24"/>
        </w:rPr>
        <w:t xml:space="preserve"> </w:t>
      </w:r>
      <w:r>
        <w:rPr>
          <w:rFonts w:ascii="Times New Roman" w:hAnsi="Times New Roman"/>
          <w:i/>
          <w:iCs/>
          <w:sz w:val="24"/>
        </w:rPr>
        <w:t xml:space="preserve">Boss</w:t>
      </w:r>
      <w:r>
        <w:rPr>
          <w:rFonts w:ascii="Times New Roman" w:hAnsi="Times New Roman"/>
          <w:sz w:val="24"/>
        </w:rPr>
        <w:t xml:space="preserve">. The mechanism predicts this: children who can’t or don’t use the teacher’s first name develop moderate proper-noun properties for the role noun – stronger than</w:t>
      </w:r>
      <w:r>
        <w:rPr>
          <w:rFonts w:ascii="Times New Roman" w:hAnsi="Times New Roman"/>
          <w:sz w:val="24"/>
        </w:rPr>
        <w:t xml:space="preserve"> </w:t>
      </w:r>
      <w:r>
        <w:rPr>
          <w:rFonts w:ascii="Times New Roman" w:hAnsi="Times New Roman"/>
          <w:i/>
          <w:iCs/>
          <w:sz w:val="24"/>
        </w:rPr>
        <w:t xml:space="preserve">Waiter</w:t>
      </w:r>
      <w:r>
        <w:rPr>
          <w:rFonts w:ascii="Times New Roman" w:hAnsi="Times New Roman"/>
          <w:sz w:val="24"/>
        </w:rPr>
        <w:t xml:space="preserve"> </w:t>
      </w:r>
      <w:r>
        <w:rPr>
          <w:rFonts w:ascii="Times New Roman" w:hAnsi="Times New Roman"/>
          <w:sz w:val="24"/>
        </w:rPr>
        <w:t xml:space="preserve">(transient encounter, no sustained address relationship), weaker than</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(no lifelong taboo-driven frequency). Part of the difference is relational persistence: a child addresses the same teacher over months, accumulating frequency that a single encounter with a waiter can’t produce.</w:t>
      </w:r>
    </w:p>
    <w:bookmarkEnd w:id="44"/>
    <w:bookmarkStart w:id="45" w:name="objection-the-semantics-explains-it"/>
    <w:p>
      <w:pPr>
        <w:pStyle w:val="Heading2"/>
        <w:spacing w:line="480" w:lineRule="auto"/>
      </w:pPr>
      <w:r>
        <w:rPr>
          <w:rFonts w:ascii="Times New Roman" w:hAnsi="Times New Roman"/>
        </w:rPr>
        <w:t xml:space="preserve">Objection: the semantics explains it</w:t>
      </w:r>
    </w:p>
    <w:p>
      <w:pPr>
        <w:pStyle w:val="FirstParagraph"/>
        <w:spacing w:line="480" w:lineRule="auto"/>
      </w:pPr>
      <w:r>
        <w:rPr>
          <w:rFonts w:ascii="Times New Roman" w:hAnsi="Times New Roman"/>
          <w:sz w:val="24"/>
        </w:rPr>
        <w:t xml:space="preserve">A second objection suggests that kinship terms permit bare singular use simply because they denote unique referents within a family. On this view, the proper-noun syntax follows from the semantics, not from frequency or the taboo.</w:t>
      </w:r>
    </w:p>
    <w:p>
      <w:pPr>
        <w:pStyle w:val="BodyText"/>
        <w:spacing w:line="480" w:lineRule="auto"/>
        <w:ind w:firstLine="720"/>
      </w:pPr>
      <w:r>
        <w:rPr>
          <w:rFonts w:ascii="Times New Roman" w:hAnsi="Times New Roman"/>
          <w:sz w:val="24"/>
        </w:rPr>
        <w:t xml:space="preserve">Semantics is clearly doing part of the work. Kinship terms are relational nouns:</w:t>
      </w:r>
      <w:r>
        <w:rPr>
          <w:rFonts w:ascii="Times New Roman" w:hAnsi="Times New Roman"/>
          <w:sz w:val="24"/>
        </w:rPr>
        <w:t xml:space="preserve"> </w:t>
      </w:r>
      <w:r>
        <w:rPr>
          <w:rFonts w:ascii="Times New Roman" w:hAnsi="Times New Roman"/>
          <w:i/>
          <w:iCs/>
          <w:sz w:val="24"/>
        </w:rPr>
        <w:t xml:space="preserve">mother</w:t>
      </w:r>
      <w:r>
        <w:rPr>
          <w:rFonts w:ascii="Times New Roman" w:hAnsi="Times New Roman"/>
          <w:sz w:val="24"/>
        </w:rPr>
        <w:t xml:space="preserve"> </w:t>
      </w:r>
      <w:r>
        <w:rPr>
          <w:rFonts w:ascii="Times New Roman" w:hAnsi="Times New Roman"/>
          <w:sz w:val="24"/>
        </w:rPr>
        <w:t xml:space="preserve">denotes a relation, and when the possessor argument is contextually supplied (the speaker’s own mother), the result can pick out a unique individual. This relational semantics makes kinship terms</w:t>
      </w:r>
      <w:r>
        <w:rPr>
          <w:rFonts w:ascii="Times New Roman" w:hAnsi="Times New Roman"/>
          <w:sz w:val="24"/>
        </w:rPr>
        <w:t xml:space="preserve"> </w:t>
      </w:r>
      <w:r>
        <w:rPr>
          <w:rFonts w:ascii="Times New Roman" w:hAnsi="Times New Roman"/>
          <w:i/>
          <w:iCs/>
          <w:sz w:val="24"/>
        </w:rPr>
        <w:t xml:space="preserve">candidates</w:t>
      </w:r>
      <w:r>
        <w:rPr>
          <w:rFonts w:ascii="Times New Roman" w:hAnsi="Times New Roman"/>
          <w:sz w:val="24"/>
        </w:rPr>
        <w:t xml:space="preserve"> </w:t>
      </w:r>
      <w:r>
        <w:rPr>
          <w:rFonts w:ascii="Times New Roman" w:hAnsi="Times New Roman"/>
          <w:sz w:val="24"/>
        </w:rPr>
        <w:t xml:space="preserve">for proper-name status in a way that non-relational nouns like</w:t>
      </w:r>
      <w:r>
        <w:rPr>
          <w:rFonts w:ascii="Times New Roman" w:hAnsi="Times New Roman"/>
          <w:sz w:val="24"/>
        </w:rPr>
        <w:t xml:space="preserve"> </w:t>
      </w:r>
      <w:r>
        <w:rPr>
          <w:rFonts w:ascii="Times New Roman" w:hAnsi="Times New Roman"/>
          <w:i/>
          <w:iCs/>
          <w:sz w:val="24"/>
        </w:rPr>
        <w:t xml:space="preserve">neighbour</w:t>
      </w:r>
      <w:r>
        <w:rPr>
          <w:rFonts w:ascii="Times New Roman" w:hAnsi="Times New Roman"/>
          <w:sz w:val="24"/>
        </w:rPr>
        <w:t xml:space="preserve"> </w:t>
      </w:r>
      <w:r>
        <w:rPr>
          <w:rFonts w:ascii="Times New Roman" w:hAnsi="Times New Roman"/>
          <w:sz w:val="24"/>
        </w:rPr>
        <w:t xml:space="preserve">aren’t – the semantic profile supports the type of reference that proper names require. But candidacy isn’t licensing. The question is whether the semantics is sufficient to produce the syntax. It isn’t.</w:t>
      </w:r>
    </w:p>
    <w:p>
      <w:pPr>
        <w:pStyle w:val="BodyText"/>
        <w:spacing w:line="480" w:lineRule="auto"/>
        <w:ind w:firstLine="720"/>
      </w:pPr>
      <w:r>
        <w:rPr>
          <w:rFonts w:ascii="Times New Roman" w:hAnsi="Times New Roman"/>
          <w:sz w:val="24"/>
        </w:rPr>
        <w:t xml:space="preserve">First, the gradience:</w:t>
      </w:r>
      <w:r>
        <w:rPr>
          <w:rFonts w:ascii="Times New Roman" w:hAnsi="Times New Roman"/>
          <w:sz w:val="24"/>
        </w:rPr>
        <w:t xml:space="preserve"> </w:t>
      </w:r>
      <w:r>
        <w:rPr>
          <w:rFonts w:ascii="Times New Roman" w:hAnsi="Times New Roman"/>
          <w:i/>
          <w:iCs/>
          <w:sz w:val="24"/>
        </w:rPr>
        <w:t xml:space="preserve">Cousin</w:t>
      </w:r>
      <w:r>
        <w:rPr>
          <w:rFonts w:ascii="Times New Roman" w:hAnsi="Times New Roman"/>
          <w:sz w:val="24"/>
        </w:rPr>
        <w:t xml:space="preserve"> </w:t>
      </w:r>
      <w:r>
        <w:rPr>
          <w:rFonts w:ascii="Times New Roman" w:hAnsi="Times New Roman"/>
          <w:sz w:val="24"/>
        </w:rPr>
        <w:t xml:space="preserve">also denotes a unique individual in many families (an only cousin), but *</w:t>
      </w:r>
      <w:r>
        <w:rPr>
          <w:rFonts w:ascii="Times New Roman" w:hAnsi="Times New Roman"/>
          <w:i/>
          <w:iCs/>
          <w:sz w:val="24"/>
        </w:rPr>
        <w:t xml:space="preserve">Cousin called</w:t>
      </w:r>
      <w:r>
        <w:rPr>
          <w:rFonts w:ascii="Times New Roman" w:hAnsi="Times New Roman"/>
          <w:sz w:val="24"/>
        </w:rPr>
        <w:t xml:space="preserve"> </w:t>
      </w:r>
      <w:r>
        <w:rPr>
          <w:rFonts w:ascii="Times New Roman" w:hAnsi="Times New Roman"/>
          <w:sz w:val="24"/>
        </w:rPr>
        <w:t xml:space="preserve">is degraded where</w:t>
      </w:r>
      <w:r>
        <w:rPr>
          <w:rFonts w:ascii="Times New Roman" w:hAnsi="Times New Roman"/>
          <w:sz w:val="24"/>
        </w:rPr>
        <w:t xml:space="preserve"> </w:t>
      </w:r>
      <w:r>
        <w:rPr>
          <w:rFonts w:ascii="Times New Roman" w:hAnsi="Times New Roman"/>
          <w:i/>
          <w:iCs/>
          <w:sz w:val="24"/>
        </w:rPr>
        <w:t xml:space="preserve">Mom called</w:t>
      </w:r>
      <w:r>
        <w:rPr>
          <w:rFonts w:ascii="Times New Roman" w:hAnsi="Times New Roman"/>
          <w:sz w:val="24"/>
        </w:rPr>
        <w:t xml:space="preserve"> </w:t>
      </w:r>
      <w:r>
        <w:rPr>
          <w:rFonts w:ascii="Times New Roman" w:hAnsi="Times New Roman"/>
          <w:sz w:val="24"/>
        </w:rPr>
        <w:t xml:space="preserve">isn’t. If uniqueness were sufficient, the two should pattern alike. Second, the full hierarchy tracks frequency better than uniqueness: parent terms (63–90% bare in CHILDES) show the strongest proper-noun properties, grandparent terms are intermediate (22–64%), and extended kin terms show the weakest (23–49%). Uniqueness doesn’t predict this ordering; the naming taboo does.</w:t>
      </w:r>
    </w:p>
    <w:p>
      <w:pPr>
        <w:pStyle w:val="BodyText"/>
        <w:spacing w:line="480" w:lineRule="auto"/>
        <w:ind w:firstLine="720"/>
      </w:pPr>
      <w:r>
        <w:rPr>
          <w:rFonts w:ascii="Times New Roman" w:hAnsi="Times New Roman"/>
          <w:sz w:val="24"/>
        </w:rPr>
        <w:t xml:space="preserve">The semantic conditions and the frequency mechanism aren’t in competition. Relational semantics selects which nouns are candidates for proper-name status; frequency determines which candidates get there. The semantic account, taken alone, can stipulate that uniqueness is necessary but not sufficient, but then it needs a second condition to explain the gradient – and that condition is going to look like the frequency mechanism.</w:t>
      </w:r>
    </w:p>
    <w:bookmarkEnd w:id="45"/>
    <w:bookmarkStart w:id="46" w:name="objection-what-about-sir-and-maam"/>
    <w:p>
      <w:pPr>
        <w:pStyle w:val="Heading2"/>
        <w:spacing w:line="480" w:lineRule="auto"/>
      </w:pPr>
      <w:r>
        <w:rPr>
          <w:rFonts w:ascii="Times New Roman" w:hAnsi="Times New Roman"/>
        </w:rPr>
        <w:t xml:space="preserve">Objection: what about</w:t>
      </w:r>
      <w:r>
        <w:rPr>
          <w:rFonts w:ascii="Times New Roman" w:hAnsi="Times New Roman"/>
        </w:rPr>
        <w:t xml:space="preserve"> </w:t>
      </w:r>
      <w:r>
        <w:rPr>
          <w:rFonts w:ascii="Times New Roman" w:hAnsi="Times New Roman"/>
          <w:iCs/>
        </w:rPr>
        <w:t xml:space="preserve">sir</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iCs/>
        </w:rPr>
        <w:t xml:space="preserve">ma’am</w:t>
      </w:r>
      <w:r>
        <w:rPr>
          <w:rFonts w:ascii="Times New Roman" w:hAnsi="Times New Roman"/>
        </w:rPr>
        <w:t xml:space="preserve">?</w:t>
      </w:r>
    </w:p>
    <w:p>
      <w:pPr>
        <w:pStyle w:val="FirstParagraph"/>
        <w:spacing w:line="480" w:lineRule="auto"/>
      </w:pPr>
      <w:r>
        <w:rPr>
          <w:rFonts w:ascii="Times New Roman" w:hAnsi="Times New Roman"/>
          <w:sz w:val="24"/>
        </w:rPr>
        <w:t xml:space="preserve">A related question concerns address forms like</w:t>
      </w:r>
      <w:r>
        <w:rPr>
          <w:rFonts w:ascii="Times New Roman" w:hAnsi="Times New Roman"/>
          <w:sz w:val="24"/>
        </w:rPr>
        <w:t xml:space="preserve"> </w:t>
      </w:r>
      <w:r>
        <w:rPr>
          <w:rFonts w:ascii="Times New Roman" w:hAnsi="Times New Roman"/>
          <w:i/>
          <w:iCs/>
          <w:sz w:val="24"/>
        </w:rPr>
        <w:t xml:space="preserve">sir</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ma’am</w:t>
      </w:r>
      <w:r>
        <w:rPr>
          <w:rFonts w:ascii="Times New Roman" w:hAnsi="Times New Roman"/>
          <w:sz w:val="24"/>
        </w:rPr>
        <w:t xml:space="preserve">, which also permit bare use. Does the analysis generalize?</w:t>
      </w:r>
    </w:p>
    <w:p>
      <w:pPr>
        <w:pStyle w:val="BodyText"/>
        <w:spacing w:line="480" w:lineRule="auto"/>
        <w:ind w:firstLine="720"/>
      </w:pPr>
      <w:r>
        <w:rPr>
          <w:rFonts w:ascii="Times New Roman" w:hAnsi="Times New Roman"/>
          <w:sz w:val="24"/>
        </w:rPr>
        <w:t xml:space="preserve">Yes, appropriately.</w:t>
      </w:r>
      <w:r>
        <w:rPr>
          <w:rFonts w:ascii="Times New Roman" w:hAnsi="Times New Roman"/>
          <w:sz w:val="24"/>
        </w:rPr>
        <w:t xml:space="preserve"> </w:t>
      </w:r>
      <w:r>
        <w:rPr>
          <w:rFonts w:ascii="Times New Roman" w:hAnsi="Times New Roman"/>
          <w:i/>
          <w:iCs/>
          <w:sz w:val="24"/>
        </w:rPr>
        <w:t xml:space="preserve">Sir</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i/>
          <w:iCs/>
          <w:sz w:val="24"/>
        </w:rPr>
        <w:t xml:space="preserve">ma’am</w:t>
      </w:r>
      <w:r>
        <w:rPr>
          <w:rFonts w:ascii="Times New Roman" w:hAnsi="Times New Roman"/>
          <w:sz w:val="24"/>
        </w:rPr>
        <w:t xml:space="preserve"> </w:t>
      </w:r>
      <w:r>
        <w:rPr>
          <w:rFonts w:ascii="Times New Roman" w:hAnsi="Times New Roman"/>
          <w:sz w:val="24"/>
        </w:rPr>
        <w:t xml:space="preserve">are conventionalized address forms with long grammaticalization histories, though their frequency varies sharply by register and community. They show some proper-noun-like properties:</w:t>
      </w:r>
      <w:r>
        <w:rPr>
          <w:rFonts w:ascii="Times New Roman" w:hAnsi="Times New Roman"/>
          <w:sz w:val="24"/>
        </w:rPr>
        <w:t xml:space="preserve"> </w:t>
      </w:r>
      <w:r>
        <w:rPr>
          <w:rFonts w:ascii="Times New Roman" w:hAnsi="Times New Roman"/>
          <w:sz w:val="24"/>
          <w:vertAlign w:val="superscript"/>
        </w:rPr>
        <w:t xml:space="preserve">?</w:t>
      </w:r>
      <w:r>
        <w:rPr>
          <w:rFonts w:ascii="Times New Roman" w:hAnsi="Times New Roman"/>
          <w:i/>
          <w:iCs/>
          <w:sz w:val="24"/>
        </w:rPr>
        <w:t xml:space="preserve">Sir called</w:t>
      </w:r>
      <w:r>
        <w:rPr>
          <w:rFonts w:ascii="Times New Roman" w:hAnsi="Times New Roman"/>
          <w:sz w:val="24"/>
        </w:rPr>
        <w:t xml:space="preserve"> </w:t>
      </w:r>
      <w:r>
        <w:rPr>
          <w:rFonts w:ascii="Times New Roman" w:hAnsi="Times New Roman"/>
          <w:sz w:val="24"/>
        </w:rPr>
        <w:t xml:space="preserve">is marginal but better than *</w:t>
      </w:r>
      <w:r>
        <w:rPr>
          <w:rFonts w:ascii="Times New Roman" w:hAnsi="Times New Roman"/>
          <w:i/>
          <w:iCs/>
          <w:sz w:val="24"/>
        </w:rPr>
        <w:t xml:space="preserve">Waiter called</w:t>
      </w:r>
      <w:r>
        <w:rPr>
          <w:rFonts w:ascii="Times New Roman" w:hAnsi="Times New Roman"/>
          <w:sz w:val="24"/>
        </w:rPr>
        <w:t xml:space="preserve">. The mechanism predicts exactly this: forms used frequently in address position should show intermediate proper-noun properties.</w:t>
      </w:r>
    </w:p>
    <w:p>
      <w:pPr>
        <w:pStyle w:val="BodyText"/>
        <w:spacing w:line="480" w:lineRule="auto"/>
        <w:ind w:firstLine="720"/>
      </w:pPr>
      <w:r>
        <w:rPr>
          <w:rFonts w:ascii="Times New Roman" w:hAnsi="Times New Roman"/>
          <w:sz w:val="24"/>
        </w:rPr>
        <w:t xml:space="preserve">The kinship story isn’t unique to kinship. It’s an instance of a general mechanism – frequency in name position produces proper-noun syntax – applied to a case where social prohibition creates the requisite frequency. Kinship terms provide the clearest test case because the naming taboo creates a frequency asymmetry that is unusually large, well-documented, and socially motivated – making the causal pathway traceable in a way that other address-form grammaticalizations don’t permit.</w:t>
      </w:r>
    </w:p>
    <w:bookmarkEnd w:id="46"/>
    <w:bookmarkStart w:id="47" w:name="Xe367cdb206896a897cd2df78e6dd1e2ec52844d"/>
    <w:p>
      <w:pPr>
        <w:pStyle w:val="Heading2"/>
        <w:spacing w:line="480" w:lineRule="auto"/>
      </w:pPr>
      <w:r>
        <w:rPr>
          <w:rFonts w:ascii="Times New Roman" w:hAnsi="Times New Roman"/>
        </w:rPr>
        <w:t xml:space="preserve">Alternative: inherent lexical specification</w:t>
      </w:r>
    </w:p>
    <w:p>
      <w:pPr>
        <w:pStyle w:val="FirstParagraph"/>
        <w:spacing w:line="480" w:lineRule="auto"/>
      </w:pPr>
      <w:r>
        <w:rPr>
          <w:rFonts w:ascii="Times New Roman" w:hAnsi="Times New Roman"/>
          <w:sz w:val="24"/>
        </w:rPr>
        <w:t xml:space="preserve">An alternative account would treat proper-noun syntax as an inherent lexical property of certain kinship terms. On this view,</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has two lexical entries: a common noun (relational, requiring determiner) and a proper noun (name-like, bare).</w:t>
      </w:r>
    </w:p>
    <w:p>
      <w:pPr>
        <w:pStyle w:val="BodyText"/>
        <w:spacing w:line="480" w:lineRule="auto"/>
        <w:ind w:firstLine="720"/>
      </w:pPr>
      <w:r>
        <w:rPr>
          <w:rFonts w:ascii="Times New Roman" w:hAnsi="Times New Roman"/>
          <w:sz w:val="24"/>
        </w:rPr>
        <w:t xml:space="preserve">This analysis captures the synchronic facts but leaves them unexplained. Why should</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have developed a lexicalized proper-noun use, and why should that use be gradient across kinship terms? Why is bare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fully licensed, bare</w:t>
      </w:r>
      <w:r>
        <w:rPr>
          <w:rFonts w:ascii="Times New Roman" w:hAnsi="Times New Roman"/>
          <w:sz w:val="24"/>
        </w:rPr>
        <w:t xml:space="preserve"> </w:t>
      </w:r>
      <w:r>
        <w:rPr>
          <w:rFonts w:ascii="Times New Roman" w:hAnsi="Times New Roman"/>
          <w:sz w:val="24"/>
          <w:vertAlign w:val="superscript"/>
        </w:rPr>
        <w:t xml:space="preserve">?</w:t>
      </w:r>
      <w:r>
        <w:rPr>
          <w:rFonts w:ascii="Times New Roman" w:hAnsi="Times New Roman"/>
          <w:i/>
          <w:iCs/>
          <w:sz w:val="24"/>
        </w:rPr>
        <w:t xml:space="preserve">Uncle</w:t>
      </w:r>
      <w:r>
        <w:rPr>
          <w:rFonts w:ascii="Times New Roman" w:hAnsi="Times New Roman"/>
          <w:sz w:val="24"/>
        </w:rPr>
        <w:t xml:space="preserve"> </w:t>
      </w:r>
      <w:r>
        <w:rPr>
          <w:rFonts w:ascii="Times New Roman" w:hAnsi="Times New Roman"/>
          <w:sz w:val="24"/>
        </w:rPr>
        <w:t xml:space="preserve">marginal, and bare</w:t>
      </w:r>
      <w:r>
        <w:rPr>
          <w:rFonts w:ascii="Times New Roman" w:hAnsi="Times New Roman"/>
          <w:sz w:val="24"/>
        </w:rPr>
        <w:t xml:space="preserve"> </w:t>
      </w:r>
      <w:r>
        <w:rPr>
          <w:rFonts w:ascii="Times New Roman" w:hAnsi="Times New Roman"/>
          <w:sz w:val="24"/>
          <w:vertAlign w:val="superscript"/>
        </w:rPr>
        <w:t xml:space="preserve">*</w:t>
      </w:r>
      <w:r>
        <w:rPr>
          <w:rFonts w:ascii="Times New Roman" w:hAnsi="Times New Roman"/>
          <w:i/>
          <w:iCs/>
          <w:sz w:val="24"/>
        </w:rPr>
        <w:t xml:space="preserve">Cousin</w:t>
      </w:r>
      <w:r>
        <w:rPr>
          <w:rFonts w:ascii="Times New Roman" w:hAnsi="Times New Roman"/>
          <w:sz w:val="24"/>
        </w:rPr>
        <w:t xml:space="preserve"> </w:t>
      </w:r>
      <w:r>
        <w:rPr>
          <w:rFonts w:ascii="Times New Roman" w:hAnsi="Times New Roman"/>
          <w:sz w:val="24"/>
        </w:rPr>
        <w:t xml:space="preserve">ungrammatical? The lexical-specification account treats as brute fact what the frequency mechanism derives from usage patterns.</w:t>
      </w:r>
    </w:p>
    <w:p>
      <w:pPr>
        <w:pStyle w:val="BodyText"/>
        <w:spacing w:line="480" w:lineRule="auto"/>
        <w:ind w:firstLine="720"/>
      </w:pPr>
      <w:r>
        <w:rPr>
          <w:rFonts w:ascii="Times New Roman" w:hAnsi="Times New Roman"/>
          <w:sz w:val="24"/>
        </w:rPr>
        <w:t xml:space="preserve">The strongest version of this alternative is a construction-grammar analysis where</w:t>
      </w:r>
      <w:r>
        <w:rPr>
          <w:rFonts w:ascii="Times New Roman" w:hAnsi="Times New Roman"/>
          <w:sz w:val="24"/>
        </w:rPr>
        <w:t xml:space="preserve"> </w:t>
      </w:r>
      <w:r>
        <w:rPr>
          <w:rFonts w:ascii="Times New Roman" w:hAnsi="Times New Roman"/>
          <w:i/>
          <w:iCs/>
          <w:sz w:val="24"/>
        </w:rPr>
        <w:t xml:space="preserve">Mom</w:t>
      </w:r>
      <w:r>
        <w:rPr>
          <w:rFonts w:ascii="Times New Roman" w:hAnsi="Times New Roman"/>
          <w:sz w:val="24"/>
        </w:rPr>
        <w:t xml:space="preserve"> </w:t>
      </w:r>
      <w:r>
        <w:rPr>
          <w:rFonts w:ascii="Times New Roman" w:hAnsi="Times New Roman"/>
          <w:sz w:val="24"/>
        </w:rPr>
        <w:t xml:space="preserve">has a partially schematic entry [</w:t>
      </w:r>
      <w:r>
        <w:rPr>
          <w:rFonts w:ascii="Times New Roman" w:hAnsi="Times New Roman"/>
          <w:smallCaps/>
          <w:sz w:val="24"/>
        </w:rPr>
        <w:t xml:space="preserve">kin-term</w:t>
      </w:r>
      <m:oMath>
        <m:sSub>
          <m:e>
            <m:r>
              <m:t>​</m:t>
            </m:r>
          </m:e>
          <m:sub>
            <m:r>
              <m:rPr>
                <m:nor/>
                <m:sty m:val="p"/>
              </m:rPr>
              <m:t>proper</m:t>
            </m:r>
          </m:sub>
        </m:sSub>
      </m:oMath>
      <w:r>
        <w:rPr>
          <w:rFonts w:ascii="Times New Roman" w:hAnsi="Times New Roman"/>
          <w:sz w:val="24"/>
        </w:rPr>
        <w:t xml:space="preserve">] that</w:t>
      </w:r>
      <w:r>
        <w:rPr>
          <w:rFonts w:ascii="Times New Roman" w:hAnsi="Times New Roman"/>
          <w:sz w:val="24"/>
        </w:rPr>
        <w:t xml:space="preserve"> </w:t>
      </w:r>
      <w:r>
        <w:rPr>
          <w:rFonts w:ascii="Times New Roman" w:hAnsi="Times New Roman"/>
          <w:i/>
          <w:iCs/>
          <w:sz w:val="24"/>
        </w:rPr>
        <w:t xml:space="preserve">is</w:t>
      </w:r>
      <w:r>
        <w:rPr>
          <w:rFonts w:ascii="Times New Roman" w:hAnsi="Times New Roman"/>
          <w:sz w:val="24"/>
        </w:rPr>
        <w:t xml:space="preserve"> </w:t>
      </w:r>
      <w:r>
        <w:rPr>
          <w:rFonts w:ascii="Times New Roman" w:hAnsi="Times New Roman"/>
          <w:sz w:val="24"/>
        </w:rPr>
        <w:t xml:space="preserve">the sedimented result of frequency – making it compatible with the present mechanism rather than a competitor. The question then becomes whether the diachronic/causal story adds anything to the synchronic description. For usage-based grammarians, the causal connection is constitutive: the grammar</w:t>
      </w:r>
      <w:r>
        <w:rPr>
          <w:rFonts w:ascii="Times New Roman" w:hAnsi="Times New Roman"/>
          <w:sz w:val="24"/>
        </w:rPr>
        <w:t xml:space="preserve"> </w:t>
      </w:r>
      <w:r>
        <w:rPr>
          <w:rFonts w:ascii="Times New Roman" w:hAnsi="Times New Roman"/>
          <w:i/>
          <w:iCs/>
          <w:sz w:val="24"/>
        </w:rPr>
        <w:t xml:space="preserve">is</w:t>
      </w:r>
      <w:r>
        <w:rPr>
          <w:rFonts w:ascii="Times New Roman" w:hAnsi="Times New Roman"/>
          <w:sz w:val="24"/>
        </w:rPr>
        <w:t xml:space="preserve"> </w:t>
      </w:r>
      <w:r>
        <w:rPr>
          <w:rFonts w:ascii="Times New Roman" w:hAnsi="Times New Roman"/>
          <w:sz w:val="24"/>
        </w:rPr>
        <w:t xml:space="preserve">the frequency-driven pattern. For grammarians who treat synchronic and diachronic as separate enterprises, the causal story remains significant as an account of why this particular constructional pattern exists.</w:t>
      </w:r>
    </w:p>
    <w:p>
      <w:pPr>
        <w:pStyle w:val="BodyText"/>
        <w:spacing w:line="480" w:lineRule="auto"/>
        <w:ind w:firstLine="720"/>
      </w:pPr>
      <w:r>
        <w:rPr>
          <w:rFonts w:ascii="Times New Roman" w:hAnsi="Times New Roman"/>
          <w:sz w:val="24"/>
        </w:rPr>
        <w:t xml:space="preserve">Either way, the lexical account doesn’t connect to the sociolinguistic facts. It treats the naming taboo and the bare singular pattern as coincidental. The frequency mechanism treats them as causally connected – and that connection is the paper’s core contribution.</w:t>
      </w:r>
    </w:p>
    <w:bookmarkEnd w:id="47"/>
    <w:bookmarkStart w:id="48" w:name="objection-causal-directionality"/>
    <w:p>
      <w:pPr>
        <w:pStyle w:val="Heading2"/>
        <w:spacing w:line="480" w:lineRule="auto"/>
      </w:pPr>
      <w:r>
        <w:rPr>
          <w:rFonts w:ascii="Times New Roman" w:hAnsi="Times New Roman"/>
        </w:rPr>
        <w:t xml:space="preserve">Objection: causal directionality</w:t>
      </w:r>
    </w:p>
    <w:p>
      <w:pPr>
        <w:pStyle w:val="FirstParagraph"/>
        <w:spacing w:line="480" w:lineRule="auto"/>
      </w:pPr>
      <w:r>
        <w:rPr>
          <w:rFonts w:ascii="Times New Roman" w:hAnsi="Times New Roman"/>
          <w:sz w:val="24"/>
        </w:rPr>
        <w:t xml:space="preserve">A final objection concerns the direction of causation. The paper claims taboo</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frequency</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syntax, but an alternative direction is possible: syntax</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social status</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taboo. On this view, kinship terms that</w:t>
      </w:r>
      <w:r>
        <w:rPr>
          <w:rFonts w:ascii="Times New Roman" w:hAnsi="Times New Roman"/>
          <w:sz w:val="24"/>
        </w:rPr>
        <w:t xml:space="preserve"> </w:t>
      </w:r>
      <w:r>
        <w:rPr>
          <w:rFonts w:ascii="Times New Roman" w:hAnsi="Times New Roman"/>
          <w:i/>
          <w:iCs/>
          <w:sz w:val="24"/>
        </w:rPr>
        <w:t xml:space="preserve">already had</w:t>
      </w:r>
      <w:r>
        <w:rPr>
          <w:rFonts w:ascii="Times New Roman" w:hAnsi="Times New Roman"/>
          <w:sz w:val="24"/>
        </w:rPr>
        <w:t xml:space="preserve"> </w:t>
      </w:r>
      <w:r>
        <w:rPr>
          <w:rFonts w:ascii="Times New Roman" w:hAnsi="Times New Roman"/>
          <w:sz w:val="24"/>
        </w:rPr>
        <w:t xml:space="preserve">proper-noun syntax (for whatever reason) acquired special social significance</w:t>
      </w:r>
      <w:r>
        <w:rPr>
          <w:rFonts w:ascii="Times New Roman" w:hAnsi="Times New Roman"/>
          <w:sz w:val="24"/>
        </w:rPr>
        <w:t xml:space="preserve"> </w:t>
      </w:r>
      <w:r>
        <w:rPr>
          <w:rFonts w:ascii="Times New Roman" w:hAnsi="Times New Roman"/>
          <w:i/>
          <w:iCs/>
          <w:sz w:val="24"/>
        </w:rPr>
        <w:t xml:space="preserve">because</w:t>
      </w:r>
      <w:r>
        <w:rPr>
          <w:rFonts w:ascii="Times New Roman" w:hAnsi="Times New Roman"/>
          <w:sz w:val="24"/>
        </w:rPr>
        <w:t xml:space="preserve"> </w:t>
      </w:r>
      <w:r>
        <w:rPr>
          <w:rFonts w:ascii="Times New Roman" w:hAnsi="Times New Roman"/>
          <w:sz w:val="24"/>
        </w:rPr>
        <w:t xml:space="preserve">of their grammatical distinctiveness, and the taboo emerged to protect that significance.</w:t>
      </w:r>
    </w:p>
    <w:p>
      <w:pPr>
        <w:pStyle w:val="BodyText"/>
        <w:spacing w:line="480" w:lineRule="auto"/>
        <w:ind w:firstLine="720"/>
      </w:pPr>
      <w:r>
        <w:rPr>
          <w:rFonts w:ascii="Times New Roman" w:hAnsi="Times New Roman"/>
          <w:sz w:val="24"/>
        </w:rPr>
        <w:t xml:space="preserve">The feedback loop described in Section </w:t>
      </w:r>
      <w:hyperlink w:anchor="sec:mechanism">
        <w:r>
          <w:rPr>
            <w:rStyle w:val="Hyperlink"/>
          </w:rPr>
          <w:t xml:space="preserve">4</w:t>
        </w:r>
      </w:hyperlink>
      <w:r>
        <w:rPr>
          <w:rFonts w:ascii="Times New Roman" w:hAnsi="Times New Roman"/>
          <w:sz w:val="24"/>
        </w:rPr>
        <w:t xml:space="preserve"> </w:t>
      </w:r>
      <w:r>
        <w:rPr>
          <w:rFonts w:ascii="Times New Roman" w:hAnsi="Times New Roman"/>
          <w:sz w:val="24"/>
        </w:rPr>
        <w:t xml:space="preserve">– where syntactic distinctiveness reinforces the social status that produced it – makes these alternatives harder to distinguish synchronically. Both predict the same correlation between taboo strength and proper-noun distribution. What distinguishes them is diachronic: the present account predicts that the taboo should</w:t>
      </w:r>
      <w:r>
        <w:rPr>
          <w:rFonts w:ascii="Times New Roman" w:hAnsi="Times New Roman"/>
          <w:sz w:val="24"/>
        </w:rPr>
        <w:t xml:space="preserve"> </w:t>
      </w:r>
      <w:r>
        <w:rPr>
          <w:rFonts w:ascii="Times New Roman" w:hAnsi="Times New Roman"/>
          <w:i/>
          <w:iCs/>
          <w:sz w:val="24"/>
        </w:rPr>
        <w:t xml:space="preserve">precede</w:t>
      </w:r>
      <w:r>
        <w:rPr>
          <w:rFonts w:ascii="Times New Roman" w:hAnsi="Times New Roman"/>
          <w:sz w:val="24"/>
        </w:rPr>
        <w:t xml:space="preserve"> </w:t>
      </w:r>
      <w:r>
        <w:rPr>
          <w:rFonts w:ascii="Times New Roman" w:hAnsi="Times New Roman"/>
          <w:sz w:val="24"/>
        </w:rPr>
        <w:t xml:space="preserve">proper-noun syntax historically; the reverse account predicts that proper-noun syntax should precede the taboo.</w:t>
      </w:r>
    </w:p>
    <w:p>
      <w:pPr>
        <w:pStyle w:val="BodyText"/>
        <w:spacing w:line="480" w:lineRule="auto"/>
        <w:ind w:firstLine="720"/>
      </w:pPr>
      <w:r>
        <w:rPr>
          <w:rFonts w:ascii="Times New Roman" w:hAnsi="Times New Roman"/>
          <w:sz w:val="24"/>
        </w:rPr>
        <w:t xml:space="preserve">The mechanism predicts that address norms should precede bare-argument licensing diachronically, but this prediction is unlikely to be resolvable from the English historical record. Both the naming taboo and bare kinship-term use probably predate the available corpora. The evidence has the additional misfortune of being primarily spoken, overwhelmingly produced by small children, and therefore exactly the kind of language that historical records don’t preserve. The causal claim rests on synchronic distributional evidence – the gradient’s alignment with taboo strength, the correlation between vocative concentration and bare-argument rates – and on the plausibility of the proposed pathway rather than on demonstrated historical sequence.</w:t>
      </w:r>
    </w:p>
    <w:bookmarkEnd w:id="48"/>
    <w:bookmarkEnd w:id="49"/>
    <w:bookmarkStart w:id="50" w:name="sec:conclusion"/>
    <w:p>
      <w:pPr>
        <w:pStyle w:val="Heading1"/>
        <w:spacing w:line="480" w:lineRule="auto"/>
      </w:pPr>
      <w:r>
        <w:rPr>
          <w:rFonts w:ascii="Times New Roman" w:hAnsi="Times New Roman"/>
        </w:rPr>
        <w:t xml:space="preserve">Conclusion</w:t>
      </w:r>
    </w:p>
    <w:p>
      <w:pPr>
        <w:pStyle w:val="FirstParagraph"/>
        <w:spacing w:line="480" w:lineRule="auto"/>
      </w:pPr>
      <w:r>
        <w:rPr>
          <w:rFonts w:ascii="Times New Roman" w:hAnsi="Times New Roman"/>
          <w:sz w:val="24"/>
        </w:rPr>
        <w:t xml:space="preserve">Three contributions stand out. First, the paper bridges two literatures that have ignored each other. Sociolinguists studying address forms haven’t examined determiner syntax; syntacticians studying bare nominals haven’t considered the politics of the family. The bridge is</w:t>
      </w:r>
      <w:r>
        <w:rPr>
          <w:rFonts w:ascii="Times New Roman" w:hAnsi="Times New Roman"/>
          <w:sz w:val="24"/>
        </w:rPr>
        <w:t xml:space="preserve"> </w:t>
      </w:r>
      <w:r>
        <w:rPr>
          <w:rFonts w:ascii="Times New Roman" w:hAnsi="Times New Roman"/>
          <w:i/>
          <w:iCs/>
          <w:sz w:val="24"/>
        </w:rPr>
        <w:t xml:space="preserve">CGEL</w:t>
      </w:r>
      <w:r>
        <w:rPr>
          <w:rFonts w:ascii="Times New Roman" w:hAnsi="Times New Roman"/>
          <w:sz w:val="24"/>
        </w:rPr>
        <w:t xml:space="preserve">’s category/function distinction, which lets us say precisely what’s gradient about kinship terms (proper-</w:t>
      </w:r>
      <w:r>
        <w:rPr>
          <w:rFonts w:ascii="Times New Roman" w:hAnsi="Times New Roman"/>
          <w:i/>
          <w:iCs/>
          <w:sz w:val="24"/>
        </w:rPr>
        <w:t xml:space="preserve">noun</w:t>
      </w:r>
      <w:r>
        <w:rPr>
          <w:rFonts w:ascii="Times New Roman" w:hAnsi="Times New Roman"/>
          <w:sz w:val="24"/>
        </w:rPr>
        <w:t xml:space="preserve"> </w:t>
      </w:r>
      <w:r>
        <w:rPr>
          <w:rFonts w:ascii="Times New Roman" w:hAnsi="Times New Roman"/>
          <w:sz w:val="24"/>
        </w:rPr>
        <w:t xml:space="preserve">entrenchment) and what’s not (naming function). The connection proposed here invites further work at this interface.</w:t>
      </w:r>
    </w:p>
    <w:p>
      <w:pPr>
        <w:pStyle w:val="BodyText"/>
        <w:spacing w:line="480" w:lineRule="auto"/>
        <w:ind w:firstLine="720"/>
      </w:pPr>
      <w:r>
        <w:rPr>
          <w:rFonts w:ascii="Times New Roman" w:hAnsi="Times New Roman"/>
          <w:sz w:val="24"/>
        </w:rPr>
        <w:t xml:space="preserve">Second, the paper provides an explanatory mechanism, not just a description. Other treatments note that kinship terms can function as proper names; this paper explains</w:t>
      </w:r>
      <w:r>
        <w:rPr>
          <w:rFonts w:ascii="Times New Roman" w:hAnsi="Times New Roman"/>
          <w:sz w:val="24"/>
        </w:rPr>
        <w:t xml:space="preserve"> </w:t>
      </w:r>
      <w:r>
        <w:rPr>
          <w:rFonts w:ascii="Times New Roman" w:hAnsi="Times New Roman"/>
          <w:i/>
          <w:iCs/>
          <w:sz w:val="24"/>
        </w:rPr>
        <w:t xml:space="preserve">why</w:t>
      </w:r>
      <w:r>
        <w:rPr>
          <w:rFonts w:ascii="Times New Roman" w:hAnsi="Times New Roman"/>
          <w:sz w:val="24"/>
        </w:rPr>
        <w:t xml:space="preserve"> </w:t>
      </w:r>
      <w:r>
        <w:rPr>
          <w:rFonts w:ascii="Times New Roman" w:hAnsi="Times New Roman"/>
          <w:sz w:val="24"/>
        </w:rPr>
        <w:t xml:space="preserve">– and where semantic-uniqueness accounts leave the gradient unexplained (</w:t>
      </w:r>
      <w:r>
        <w:rPr>
          <w:rFonts w:ascii="Times New Roman" w:hAnsi="Times New Roman"/>
          <w:i/>
          <w:iCs/>
          <w:sz w:val="24"/>
        </w:rPr>
        <w:t xml:space="preserve">Cousin</w:t>
      </w:r>
      <w:r>
        <w:rPr>
          <w:rFonts w:ascii="Times New Roman" w:hAnsi="Times New Roman"/>
          <w:sz w:val="24"/>
        </w:rPr>
        <w:t xml:space="preserve"> </w:t>
      </w:r>
      <w:r>
        <w:rPr>
          <w:rFonts w:ascii="Times New Roman" w:hAnsi="Times New Roman"/>
          <w:sz w:val="24"/>
        </w:rPr>
        <w:t xml:space="preserve">denotes a unique individual in many families but doesn’t license bare subjects). The naming taboo is the engine; the frequency is the transmission; the syntax is the sediment.</w:t>
      </w:r>
    </w:p>
    <w:p>
      <w:pPr>
        <w:pStyle w:val="BodyText"/>
        <w:spacing w:line="480" w:lineRule="auto"/>
        <w:ind w:firstLine="720"/>
      </w:pPr>
      <w:r>
        <w:rPr>
          <w:rFonts w:ascii="Times New Roman" w:hAnsi="Times New Roman"/>
          <w:sz w:val="24"/>
        </w:rPr>
        <w:t xml:space="preserve">Third, the paper offers falsifiable predictions, some already validated and others awaiting test. Corpus data from CHILDES confirm that parent terms show disproportionate vocative concentration (16–43%) compared to extended kin terms (4–7%), and that children drive the vocative skew (68% of vocative uses come from child speakers, not caregivers). Vocative concentration correlates with bare-argument realization across terms (Spearman</w:t>
      </w:r>
      <w:r>
        <w:rPr>
          <w:rFonts w:ascii="Times New Roman" w:hAnsi="Times New Roman"/>
          <w:sz w:val="24"/>
        </w:rPr>
        <w:t xml:space="preserve"> </w:t>
      </w:r>
      <m:oMath>
        <m:r>
          <m:t>ρ</m:t>
        </m:r>
        <m:r>
          <m:rPr>
            <m:sty m:val="p"/>
          </m:rPr>
          <m:t>=</m:t>
        </m:r>
        <m:r>
          <m:t>0.73</m:t>
        </m:r>
      </m:oMath>
      <w:r>
        <w:rPr>
          <w:rFonts w:ascii="Times New Roman" w:hAnsi="Times New Roman"/>
          <w:sz w:val="24"/>
        </w:rPr>
        <w:t xml:space="preserve"> </w:t>
      </w:r>
      <w:r>
        <w:rPr>
          <w:rFonts w:ascii="Times New Roman" w:hAnsi="Times New Roman"/>
          <w:sz w:val="24"/>
        </w:rPr>
        <w:t xml:space="preserve">[0.52, 0.85]). Untested predictions follow: across languages, the strength of the naming taboo should predict the robustness of proper-noun properties (with Malagasy teknonyms providing the sharpest test); within families, weakening of the taboo should track weakening of proper-noun syntax for the same term; and the mechanism should extend to adult adoption of kinship terms in in-law relationships.</w:t>
      </w:r>
    </w:p>
    <w:p>
      <w:pPr>
        <w:pStyle w:val="BodyText"/>
        <w:spacing w:line="480" w:lineRule="auto"/>
        <w:ind w:firstLine="720"/>
      </w:pPr>
      <w:r>
        <w:rPr>
          <w:rFonts w:ascii="Times New Roman" w:hAnsi="Times New Roman"/>
          <w:sz w:val="24"/>
        </w:rPr>
        <w:t xml:space="preserve">The entire apparatus of this paper – sociolinguistic taboo, usage-based grammaticalization, corpus annotation, Bayesian measurement-error correction – has been marshalled to explain a word that most children master before they can tie their shoes. That isn’t a reason for embarrassment; it’s the point. The most deeply entrenched grammatical patterns are precisely the ones that look too obvious to require explanation.</w:t>
      </w:r>
    </w:p>
    <w:p>
      <w:pPr>
        <w:pStyle w:val="BodyText"/>
        <w:spacing w:line="480" w:lineRule="auto"/>
        <w:ind w:firstLine="720"/>
      </w:pPr>
      <w:r>
        <w:rPr>
          <w:rFonts w:ascii="Times New Roman" w:hAnsi="Times New Roman"/>
          <w:sz w:val="24"/>
        </w:rPr>
        <w:t xml:space="preserve">Return to</w:t>
      </w:r>
      <w:r>
        <w:rPr>
          <w:rFonts w:ascii="Times New Roman" w:hAnsi="Times New Roman"/>
          <w:sz w:val="24"/>
        </w:rPr>
        <w:t xml:space="preserve"> </w:t>
      </w:r>
      <w:r>
        <w:rPr>
          <w:rFonts w:ascii="Times New Roman" w:hAnsi="Times New Roman"/>
          <w:i/>
          <w:iCs/>
          <w:sz w:val="24"/>
        </w:rPr>
        <w:t xml:space="preserve">The Parent Trap</w:t>
      </w:r>
      <w:r>
        <w:rPr>
          <w:rFonts w:ascii="Times New Roman" w:hAnsi="Times New Roman"/>
          <w:sz w:val="24"/>
        </w:rPr>
        <w:t xml:space="preserve">. When Annie says</w:t>
      </w:r>
      <w:r>
        <w:rPr>
          <w:rFonts w:ascii="Times New Roman" w:hAnsi="Times New Roman"/>
          <w:sz w:val="24"/>
        </w:rPr>
        <w:t xml:space="preserve"> </w:t>
      </w:r>
      <w:r>
        <w:rPr>
          <w:rFonts w:ascii="Times New Roman" w:hAnsi="Times New Roman"/>
          <w:sz w:val="24"/>
        </w:rPr>
        <w:t xml:space="preserve">“I really have, Dad”</w:t>
      </w:r>
      <w:r>
        <w:rPr>
          <w:rFonts w:ascii="Times New Roman" w:hAnsi="Times New Roman"/>
          <w:sz w:val="24"/>
        </w:rPr>
        <w:t xml:space="preserve">, what’s restored isn’t a way of picking out a referent – it’s a license: the right to use that word, in that slot, with that person. The naming taboo made</w:t>
      </w:r>
      <w:r>
        <w:rPr>
          <w:rFonts w:ascii="Times New Roman" w:hAnsi="Times New Roman"/>
          <w:sz w:val="24"/>
        </w:rPr>
        <w:t xml:space="preserve"> </w:t>
      </w:r>
      <w:r>
        <w:rPr>
          <w:rFonts w:ascii="Times New Roman" w:hAnsi="Times New Roman"/>
          <w:i/>
          <w:iCs/>
          <w:sz w:val="24"/>
        </w:rPr>
        <w:t xml:space="preserve">Dad</w:t>
      </w:r>
      <w:r>
        <w:rPr>
          <w:rFonts w:ascii="Times New Roman" w:hAnsi="Times New Roman"/>
          <w:sz w:val="24"/>
        </w:rPr>
        <w:t xml:space="preserve"> </w:t>
      </w:r>
      <w:r>
        <w:rPr>
          <w:rFonts w:ascii="Times New Roman" w:hAnsi="Times New Roman"/>
          <w:sz w:val="24"/>
        </w:rPr>
        <w:t xml:space="preserve">the only available term; a decade of absence didn’t weaken its proper-name status. The syntax preserves the social relation that created it.</w:t>
      </w:r>
    </w:p>
    <w:bookmarkEnd w:id="50"/>
    <w:bookmarkStart w:id="88" w:name="acknowledgments"/>
    <w:p>
      <w:pPr>
        <w:pStyle w:val="Heading1"/>
        <w:spacing w:line="480" w:lineRule="auto"/>
      </w:pPr>
      <w:r>
        <w:rPr>
          <w:rFonts w:ascii="Times New Roman" w:hAnsi="Times New Roman"/>
        </w:rPr>
        <w:t xml:space="preserve">Acknowledgments</w:t>
      </w:r>
    </w:p>
    <w:p>
      <w:pPr>
        <w:pStyle w:val="FirstParagraph"/>
        <w:spacing w:line="480" w:lineRule="auto"/>
      </w:pPr>
      <w:r>
        <w:rPr>
          <w:rFonts w:ascii="Times New Roman" w:hAnsi="Times New Roman"/>
          <w:sz w:val="24"/>
        </w:rPr>
        <w:t xml:space="preserve">[Acknowledgments removed for anonymous review.]</w:t>
      </w:r>
    </w:p>
    <w:bookmarkStart w:id="87" w:name="refs"/>
    <w:bookmarkStart w:id="51" w:name="ref-Adamek2012"/>
    <w:p>
      <w:pPr>
        <w:pStyle w:val="Bibliography"/>
        <w:spacing w:line="480" w:lineRule="auto"/>
        <w:ind w:firstLine="720"/>
      </w:pPr>
      <w:r>
        <w:rPr>
          <w:rFonts w:ascii="Times New Roman" w:hAnsi="Times New Roman"/>
          <w:sz w:val="24"/>
        </w:rPr>
        <w:t xml:space="preserve">Adamek, Piotr. 2012. A good son is sad if he hears the name of his father:</w:t>
      </w:r>
      <w:r>
        <w:rPr>
          <w:rFonts w:ascii="Times New Roman" w:hAnsi="Times New Roman"/>
          <w:sz w:val="24"/>
        </w:rPr>
        <w:t xml:space="preserve"> </w:t>
      </w: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tabooing of names in</w:t>
      </w:r>
      <w:r>
        <w:rPr>
          <w:rFonts w:ascii="Times New Roman" w:hAnsi="Times New Roman"/>
          <w:sz w:val="24"/>
        </w:rPr>
        <w:t xml:space="preserve"> </w:t>
      </w:r>
      <w:r>
        <w:rPr>
          <w:rFonts w:ascii="Times New Roman" w:hAnsi="Times New Roman"/>
          <w:sz w:val="24"/>
        </w:rPr>
        <w:t xml:space="preserve">China</w:t>
      </w:r>
      <w:r>
        <w:rPr>
          <w:rFonts w:ascii="Times New Roman" w:hAnsi="Times New Roman"/>
          <w:sz w:val="24"/>
        </w:rPr>
        <w:t xml:space="preserve"> </w:t>
      </w:r>
      <w:r>
        <w:rPr>
          <w:rFonts w:ascii="Times New Roman" w:hAnsi="Times New Roman"/>
          <w:sz w:val="24"/>
        </w:rPr>
        <w:t xml:space="preserve">as a way of implementing social values.</w:t>
      </w:r>
      <w:r>
        <w:rPr>
          <w:rFonts w:ascii="Times New Roman" w:hAnsi="Times New Roman"/>
          <w:sz w:val="24"/>
        </w:rPr>
        <w:t xml:space="preserve"> </w:t>
      </w:r>
      <w:r>
        <w:rPr>
          <w:rFonts w:ascii="Times New Roman" w:hAnsi="Times New Roman"/>
          <w:i/>
          <w:iCs/>
          <w:sz w:val="24"/>
        </w:rPr>
        <w:t xml:space="preserve">Monumenta Serica</w:t>
      </w:r>
      <w:r>
        <w:rPr>
          <w:rFonts w:ascii="Times New Roman" w:hAnsi="Times New Roman"/>
          <w:sz w:val="24"/>
        </w:rPr>
        <w:t xml:space="preserve"> </w:t>
      </w:r>
      <w:r>
        <w:rPr>
          <w:rFonts w:ascii="Times New Roman" w:hAnsi="Times New Roman"/>
          <w:sz w:val="24"/>
        </w:rPr>
        <w:t xml:space="preserve">60. 359–388.</w:t>
      </w:r>
    </w:p>
    <w:bookmarkEnd w:id="51"/>
    <w:bookmarkStart w:id="52" w:name="ref-anon2025"/>
    <w:p>
      <w:pPr>
        <w:pStyle w:val="Bibliography"/>
        <w:spacing w:line="480" w:lineRule="auto"/>
        <w:ind w:firstLine="720"/>
      </w:pPr>
      <w:r>
        <w:rPr>
          <w:rFonts w:ascii="Times New Roman" w:hAnsi="Times New Roman"/>
          <w:sz w:val="24"/>
        </w:rPr>
        <w:t xml:space="preserve">Anonymous. 2025. [Title removed for anonymous review].</w:t>
      </w:r>
    </w:p>
    <w:bookmarkEnd w:id="52"/>
    <w:bookmarkStart w:id="53" w:name="ref-BensonAnglin1987"/>
    <w:p>
      <w:pPr>
        <w:pStyle w:val="Bibliography"/>
        <w:spacing w:line="480" w:lineRule="auto"/>
        <w:ind w:firstLine="720"/>
      </w:pPr>
      <w:r>
        <w:rPr>
          <w:rFonts w:ascii="Times New Roman" w:hAnsi="Times New Roman"/>
          <w:sz w:val="24"/>
        </w:rPr>
        <w:t xml:space="preserve">Benson, N. J. &amp; J. M. Anglin. 1987. The child’s knowledge of</w:t>
      </w:r>
      <w:r>
        <w:rPr>
          <w:rFonts w:ascii="Times New Roman" w:hAnsi="Times New Roman"/>
          <w:sz w:val="24"/>
        </w:rPr>
        <w:t xml:space="preserve"> </w:t>
      </w:r>
      <w:r>
        <w:rPr>
          <w:rFonts w:ascii="Times New Roman" w:hAnsi="Times New Roman"/>
          <w:sz w:val="24"/>
        </w:rPr>
        <w:t xml:space="preserve">English</w:t>
      </w:r>
      <w:r>
        <w:rPr>
          <w:rFonts w:ascii="Times New Roman" w:hAnsi="Times New Roman"/>
          <w:sz w:val="24"/>
        </w:rPr>
        <w:t xml:space="preserve"> </w:t>
      </w:r>
      <w:r>
        <w:rPr>
          <w:rFonts w:ascii="Times New Roman" w:hAnsi="Times New Roman"/>
          <w:sz w:val="24"/>
        </w:rPr>
        <w:t xml:space="preserve">kin terms.</w:t>
      </w:r>
      <w:r>
        <w:rPr>
          <w:rFonts w:ascii="Times New Roman" w:hAnsi="Times New Roman"/>
          <w:sz w:val="24"/>
        </w:rPr>
        <w:t xml:space="preserve"> </w:t>
      </w:r>
      <w:r>
        <w:rPr>
          <w:rFonts w:ascii="Times New Roman" w:hAnsi="Times New Roman"/>
          <w:i/>
          <w:iCs/>
          <w:sz w:val="24"/>
        </w:rPr>
        <w:t xml:space="preserve">First Language</w:t>
      </w:r>
      <w:r>
        <w:rPr>
          <w:rFonts w:ascii="Times New Roman" w:hAnsi="Times New Roman"/>
          <w:sz w:val="24"/>
        </w:rPr>
        <w:t xml:space="preserve"> </w:t>
      </w:r>
      <w:r>
        <w:rPr>
          <w:rFonts w:ascii="Times New Roman" w:hAnsi="Times New Roman"/>
          <w:sz w:val="24"/>
        </w:rPr>
        <w:t xml:space="preserve">7(19). 41–66.</w:t>
      </w:r>
    </w:p>
    <w:bookmarkEnd w:id="53"/>
    <w:bookmarkStart w:id="54" w:name="ref-Bloch2006"/>
    <w:p>
      <w:pPr>
        <w:pStyle w:val="Bibliography"/>
        <w:spacing w:line="480" w:lineRule="auto"/>
        <w:ind w:firstLine="720"/>
      </w:pPr>
      <w:r>
        <w:rPr>
          <w:rFonts w:ascii="Times New Roman" w:hAnsi="Times New Roman"/>
          <w:sz w:val="24"/>
        </w:rPr>
        <w:t xml:space="preserve">Bloch, Maurice. 2010. Kinship terms are not kinship.</w:t>
      </w:r>
      <w:r>
        <w:rPr>
          <w:rFonts w:ascii="Times New Roman" w:hAnsi="Times New Roman"/>
          <w:sz w:val="24"/>
        </w:rPr>
        <w:t xml:space="preserve"> </w:t>
      </w:r>
      <w:r>
        <w:rPr>
          <w:rFonts w:ascii="Times New Roman" w:hAnsi="Times New Roman"/>
          <w:i/>
          <w:iCs/>
          <w:sz w:val="24"/>
        </w:rPr>
        <w:t xml:space="preserve">Behavioral and Brain Sciences</w:t>
      </w:r>
      <w:r>
        <w:rPr>
          <w:rFonts w:ascii="Times New Roman" w:hAnsi="Times New Roman"/>
          <w:sz w:val="24"/>
        </w:rPr>
        <w:t xml:space="preserve"> </w:t>
      </w:r>
      <w:r>
        <w:rPr>
          <w:rFonts w:ascii="Times New Roman" w:hAnsi="Times New Roman"/>
          <w:sz w:val="24"/>
        </w:rPr>
        <w:t xml:space="preserve">33. 394–395.</w:t>
      </w:r>
    </w:p>
    <w:bookmarkEnd w:id="54"/>
    <w:bookmarkStart w:id="55" w:name="ref-BrownLevinson1987"/>
    <w:p>
      <w:pPr>
        <w:pStyle w:val="Bibliography"/>
        <w:spacing w:line="480" w:lineRule="auto"/>
        <w:ind w:firstLine="720"/>
      </w:pPr>
      <w:r>
        <w:rPr>
          <w:rFonts w:ascii="Times New Roman" w:hAnsi="Times New Roman"/>
          <w:sz w:val="24"/>
        </w:rPr>
        <w:t xml:space="preserve">Brown, Penelope &amp; Stephen C. Levinson. 1987.</w:t>
      </w:r>
      <w:r>
        <w:rPr>
          <w:rFonts w:ascii="Times New Roman" w:hAnsi="Times New Roman"/>
          <w:sz w:val="24"/>
        </w:rPr>
        <w:t xml:space="preserve"> </w:t>
      </w:r>
      <w:r>
        <w:rPr>
          <w:rFonts w:ascii="Times New Roman" w:hAnsi="Times New Roman"/>
          <w:i/>
          <w:iCs/>
          <w:sz w:val="24"/>
        </w:rPr>
        <w:t xml:space="preserve">Politeness:</w:t>
      </w:r>
      <w:r>
        <w:rPr>
          <w:rFonts w:ascii="Times New Roman" w:hAnsi="Times New Roman"/>
          <w:i/>
          <w:iCs/>
          <w:sz w:val="24"/>
        </w:rPr>
        <w:t xml:space="preserve"> </w:t>
      </w:r>
      <w:r>
        <w:rPr>
          <w:rFonts w:ascii="Times New Roman" w:hAnsi="Times New Roman"/>
          <w:i/>
          <w:iCs/>
          <w:sz w:val="24"/>
        </w:rPr>
        <w:t xml:space="preserve">Some</w:t>
      </w:r>
      <w:r>
        <w:rPr>
          <w:rFonts w:ascii="Times New Roman" w:hAnsi="Times New Roman"/>
          <w:i/>
          <w:iCs/>
          <w:sz w:val="24"/>
        </w:rPr>
        <w:t xml:space="preserve"> </w:t>
      </w:r>
      <w:r>
        <w:rPr>
          <w:rFonts w:ascii="Times New Roman" w:hAnsi="Times New Roman"/>
          <w:i/>
          <w:iCs/>
          <w:sz w:val="24"/>
        </w:rPr>
        <w:t xml:space="preserve">universals in language usage</w:t>
      </w:r>
      <w:r>
        <w:rPr>
          <w:rFonts w:ascii="Times New Roman" w:hAnsi="Times New Roman"/>
          <w:sz w:val="24"/>
        </w:rPr>
        <w:t xml:space="preserve">. Cambridge: Cambridge University Press.</w:t>
      </w:r>
    </w:p>
    <w:bookmarkEnd w:id="55"/>
    <w:bookmarkStart w:id="56" w:name="ref-BrownFord1961"/>
    <w:p>
      <w:pPr>
        <w:pStyle w:val="Bibliography"/>
        <w:spacing w:line="480" w:lineRule="auto"/>
        <w:ind w:firstLine="720"/>
      </w:pPr>
      <w:r>
        <w:rPr>
          <w:rFonts w:ascii="Times New Roman" w:hAnsi="Times New Roman"/>
          <w:sz w:val="24"/>
        </w:rPr>
        <w:t xml:space="preserve">Brown, Roger &amp; Marguerite Ford. 1961. Address in</w:t>
      </w:r>
      <w:r>
        <w:rPr>
          <w:rFonts w:ascii="Times New Roman" w:hAnsi="Times New Roman"/>
          <w:sz w:val="24"/>
        </w:rPr>
        <w:t xml:space="preserve"> </w:t>
      </w:r>
      <w:r>
        <w:rPr>
          <w:rFonts w:ascii="Times New Roman" w:hAnsi="Times New Roman"/>
          <w:sz w:val="24"/>
        </w:rPr>
        <w:t xml:space="preserve">American</w:t>
      </w:r>
      <w:r>
        <w:rPr>
          <w:rFonts w:ascii="Times New Roman" w:hAnsi="Times New Roman"/>
          <w:sz w:val="24"/>
        </w:rPr>
        <w:t xml:space="preserve"> </w:t>
      </w:r>
      <w:r>
        <w:rPr>
          <w:rFonts w:ascii="Times New Roman" w:hAnsi="Times New Roman"/>
          <w:sz w:val="24"/>
        </w:rPr>
        <w:t xml:space="preserve">English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Abnormal and Social Psychology</w:t>
      </w:r>
      <w:r>
        <w:rPr>
          <w:rFonts w:ascii="Times New Roman" w:hAnsi="Times New Roman"/>
          <w:sz w:val="24"/>
        </w:rPr>
        <w:t xml:space="preserve"> </w:t>
      </w:r>
      <w:r>
        <w:rPr>
          <w:rFonts w:ascii="Times New Roman" w:hAnsi="Times New Roman"/>
          <w:sz w:val="24"/>
        </w:rPr>
        <w:t xml:space="preserve">62(2). 375–385.</w:t>
      </w:r>
    </w:p>
    <w:bookmarkEnd w:id="56"/>
    <w:bookmarkStart w:id="57" w:name="ref-BrownGilman1960"/>
    <w:p>
      <w:pPr>
        <w:pStyle w:val="Bibliography"/>
        <w:spacing w:line="480" w:lineRule="auto"/>
        <w:ind w:firstLine="720"/>
      </w:pPr>
      <w:r>
        <w:rPr>
          <w:rFonts w:ascii="Times New Roman" w:hAnsi="Times New Roman"/>
          <w:sz w:val="24"/>
        </w:rPr>
        <w:t xml:space="preserve">Brown, Roger &amp; Albert Gilman. 1960. The pronouns of power and solidarity. In Thomas A. Sebeok (ed.),</w:t>
      </w:r>
      <w:r>
        <w:rPr>
          <w:rFonts w:ascii="Times New Roman" w:hAnsi="Times New Roman"/>
          <w:sz w:val="24"/>
        </w:rPr>
        <w:t xml:space="preserve"> </w:t>
      </w:r>
      <w:r>
        <w:rPr>
          <w:rFonts w:ascii="Times New Roman" w:hAnsi="Times New Roman"/>
          <w:i/>
          <w:iCs/>
          <w:sz w:val="24"/>
        </w:rPr>
        <w:t xml:space="preserve">Style in language</w:t>
      </w:r>
      <w:r>
        <w:rPr>
          <w:rFonts w:ascii="Times New Roman" w:hAnsi="Times New Roman"/>
          <w:sz w:val="24"/>
        </w:rPr>
        <w:t xml:space="preserve">, 253–276. Cambridge, MA: MIT Press.</w:t>
      </w:r>
    </w:p>
    <w:bookmarkEnd w:id="57"/>
    <w:bookmarkStart w:id="59" w:name="ref-bybee2006"/>
    <w:p>
      <w:pPr>
        <w:pStyle w:val="Bibliography"/>
        <w:spacing w:line="480" w:lineRule="auto"/>
        <w:ind w:firstLine="720"/>
      </w:pPr>
      <w:r>
        <w:rPr>
          <w:rFonts w:ascii="Times New Roman" w:hAnsi="Times New Roman"/>
          <w:sz w:val="24"/>
        </w:rPr>
        <w:t xml:space="preserve">Bybee, Joan. 2006. From usage to grammar:</w:t>
      </w:r>
      <w:r>
        <w:rPr>
          <w:rFonts w:ascii="Times New Roman" w:hAnsi="Times New Roman"/>
          <w:sz w:val="24"/>
        </w:rPr>
        <w:t xml:space="preserve"> </w:t>
      </w: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mind’s response to repetition.</w:t>
      </w:r>
      <w:r>
        <w:rPr>
          <w:rFonts w:ascii="Times New Roman" w:hAnsi="Times New Roman"/>
          <w:sz w:val="24"/>
        </w:rPr>
        <w:t xml:space="preserve"> </w:t>
      </w:r>
      <w:r>
        <w:rPr>
          <w:rFonts w:ascii="Times New Roman" w:hAnsi="Times New Roman"/>
          <w:i/>
          <w:iCs/>
          <w:sz w:val="24"/>
        </w:rPr>
        <w:t xml:space="preserve">Language</w:t>
      </w:r>
      <w:r>
        <w:rPr>
          <w:rFonts w:ascii="Times New Roman" w:hAnsi="Times New Roman"/>
          <w:sz w:val="24"/>
        </w:rPr>
        <w:t xml:space="preserve"> </w:t>
      </w:r>
      <w:r>
        <w:rPr>
          <w:rFonts w:ascii="Times New Roman" w:hAnsi="Times New Roman"/>
          <w:sz w:val="24"/>
        </w:rPr>
        <w:t xml:space="preserve">82(4). 711–733.</w:t>
      </w:r>
      <w:r>
        <w:rPr>
          <w:rFonts w:ascii="Times New Roman" w:hAnsi="Times New Roman"/>
          <w:sz w:val="24"/>
        </w:rPr>
        <w:t xml:space="preserve"> </w:t>
      </w:r>
      <w:hyperlink r:id="rId58">
        <w:r>
          <w:rPr>
            <w:rStyle w:val="Hyperlink"/>
          </w:rPr>
          <w:t xml:space="preserve">https://doi.org/10.1353/lan.2006.0186</w:t>
        </w:r>
      </w:hyperlink>
      <w:r>
        <w:rPr>
          <w:rFonts w:ascii="Times New Roman" w:hAnsi="Times New Roman"/>
          <w:sz w:val="24"/>
        </w:rPr>
        <w:t xml:space="preserve">.</w:t>
      </w:r>
    </w:p>
    <w:bookmarkEnd w:id="59"/>
    <w:bookmarkStart w:id="61" w:name="ref-bybee2010"/>
    <w:p>
      <w:pPr>
        <w:pStyle w:val="Bibliography"/>
        <w:spacing w:line="480" w:lineRule="auto"/>
        <w:ind w:firstLine="720"/>
      </w:pPr>
      <w:r>
        <w:rPr>
          <w:rFonts w:ascii="Times New Roman" w:hAnsi="Times New Roman"/>
          <w:sz w:val="24"/>
        </w:rPr>
        <w:t xml:space="preserve">Bybee, Joan. 2010.</w:t>
      </w:r>
      <w:r>
        <w:rPr>
          <w:rFonts w:ascii="Times New Roman" w:hAnsi="Times New Roman"/>
          <w:sz w:val="24"/>
        </w:rPr>
        <w:t xml:space="preserve"> </w:t>
      </w:r>
      <w:r>
        <w:rPr>
          <w:rFonts w:ascii="Times New Roman" w:hAnsi="Times New Roman"/>
          <w:i/>
          <w:iCs/>
          <w:sz w:val="24"/>
        </w:rPr>
        <w:t xml:space="preserve">Language, usage and cognition</w:t>
      </w:r>
      <w:r>
        <w:rPr>
          <w:rFonts w:ascii="Times New Roman" w:hAnsi="Times New Roman"/>
          <w:sz w:val="24"/>
        </w:rPr>
        <w:t xml:space="preserve">. Cambridge: Cambridge University Press.</w:t>
      </w:r>
      <w:r>
        <w:rPr>
          <w:rFonts w:ascii="Times New Roman" w:hAnsi="Times New Roman"/>
          <w:sz w:val="24"/>
        </w:rPr>
        <w:t xml:space="preserve"> </w:t>
      </w:r>
      <w:hyperlink r:id="rId60">
        <w:r>
          <w:rPr>
            <w:rStyle w:val="Hyperlink"/>
          </w:rPr>
          <w:t xml:space="preserve">https://doi.org/10.1017/CBO9780511750526</w:t>
        </w:r>
      </w:hyperlink>
      <w:r>
        <w:rPr>
          <w:rFonts w:ascii="Times New Roman" w:hAnsi="Times New Roman"/>
          <w:sz w:val="24"/>
        </w:rPr>
        <w:t xml:space="preserve">.</w:t>
      </w:r>
    </w:p>
    <w:bookmarkEnd w:id="61"/>
    <w:bookmarkStart w:id="62" w:name="ref-Dez1990"/>
    <w:p>
      <w:pPr>
        <w:pStyle w:val="Bibliography"/>
        <w:spacing w:line="480" w:lineRule="auto"/>
        <w:ind w:firstLine="720"/>
      </w:pPr>
      <w:r>
        <w:rPr>
          <w:rFonts w:ascii="Times New Roman" w:hAnsi="Times New Roman"/>
          <w:sz w:val="24"/>
        </w:rPr>
        <w:t xml:space="preserve">Dez, Jacques. 1990.</w:t>
      </w:r>
      <w:r>
        <w:rPr>
          <w:rFonts w:ascii="Times New Roman" w:hAnsi="Times New Roman"/>
          <w:sz w:val="24"/>
        </w:rPr>
        <w:t xml:space="preserve"> </w:t>
      </w:r>
      <w:r>
        <w:rPr>
          <w:rFonts w:ascii="Times New Roman" w:hAnsi="Times New Roman"/>
          <w:i/>
          <w:iCs/>
          <w:sz w:val="24"/>
        </w:rPr>
        <w:t xml:space="preserve">Chemins de la langue malgache</w:t>
      </w:r>
      <w:r>
        <w:rPr>
          <w:rFonts w:ascii="Times New Roman" w:hAnsi="Times New Roman"/>
          <w:sz w:val="24"/>
        </w:rPr>
        <w:t xml:space="preserve">. Paris: L’Harmattan.</w:t>
      </w:r>
    </w:p>
    <w:bookmarkEnd w:id="62"/>
    <w:bookmarkStart w:id="64" w:name="ref-Dickey1997"/>
    <w:p>
      <w:pPr>
        <w:pStyle w:val="Bibliography"/>
        <w:spacing w:line="480" w:lineRule="auto"/>
        <w:ind w:firstLine="720"/>
      </w:pPr>
      <w:r>
        <w:rPr>
          <w:rFonts w:ascii="Times New Roman" w:hAnsi="Times New Roman"/>
          <w:sz w:val="24"/>
        </w:rPr>
        <w:t xml:space="preserve">Dickey, Eleanor. 1997. Forms of address and terms of reference.</w:t>
      </w:r>
      <w:r>
        <w:rPr>
          <w:rFonts w:ascii="Times New Roman" w:hAnsi="Times New Roman"/>
          <w:sz w:val="24"/>
        </w:rPr>
        <w:t xml:space="preserve"> </w:t>
      </w:r>
      <w:r>
        <w:rPr>
          <w:rFonts w:ascii="Times New Roman" w:hAnsi="Times New Roman"/>
          <w:i/>
          <w:iCs/>
          <w:sz w:val="24"/>
        </w:rPr>
        <w:t xml:space="preserve">Journal of Linguistics</w:t>
      </w:r>
      <w:r>
        <w:rPr>
          <w:rFonts w:ascii="Times New Roman" w:hAnsi="Times New Roman"/>
          <w:sz w:val="24"/>
        </w:rPr>
        <w:t xml:space="preserve"> </w:t>
      </w:r>
      <w:r>
        <w:rPr>
          <w:rFonts w:ascii="Times New Roman" w:hAnsi="Times New Roman"/>
          <w:sz w:val="24"/>
        </w:rPr>
        <w:t xml:space="preserve">33(2). 255–274.</w:t>
      </w:r>
      <w:r>
        <w:rPr>
          <w:rFonts w:ascii="Times New Roman" w:hAnsi="Times New Roman"/>
          <w:sz w:val="24"/>
        </w:rPr>
        <w:t xml:space="preserve"> </w:t>
      </w:r>
      <w:hyperlink r:id="rId63">
        <w:r>
          <w:rPr>
            <w:rStyle w:val="Hyperlink"/>
          </w:rPr>
          <w:t xml:space="preserve">https://doi.org/10.1017/S0022226797006488</w:t>
        </w:r>
      </w:hyperlink>
      <w:r>
        <w:rPr>
          <w:rFonts w:ascii="Times New Roman" w:hAnsi="Times New Roman"/>
          <w:sz w:val="24"/>
        </w:rPr>
        <w:t xml:space="preserve">.</w:t>
      </w:r>
    </w:p>
    <w:bookmarkEnd w:id="64"/>
    <w:bookmarkStart w:id="65" w:name="ref-Downing1996"/>
    <w:p>
      <w:pPr>
        <w:pStyle w:val="Bibliography"/>
        <w:spacing w:line="480" w:lineRule="auto"/>
        <w:ind w:firstLine="720"/>
      </w:pPr>
      <w:r>
        <w:rPr>
          <w:rFonts w:ascii="Times New Roman" w:hAnsi="Times New Roman"/>
          <w:sz w:val="24"/>
        </w:rPr>
        <w:t xml:space="preserve">Downing, Pamela. 1996. Proper names as a referential option in</w:t>
      </w:r>
      <w:r>
        <w:rPr>
          <w:rFonts w:ascii="Times New Roman" w:hAnsi="Times New Roman"/>
          <w:sz w:val="24"/>
        </w:rPr>
        <w:t xml:space="preserve"> </w:t>
      </w:r>
      <w:r>
        <w:rPr>
          <w:rFonts w:ascii="Times New Roman" w:hAnsi="Times New Roman"/>
          <w:sz w:val="24"/>
        </w:rPr>
        <w:t xml:space="preserve">English</w:t>
      </w:r>
      <w:r>
        <w:rPr>
          <w:rFonts w:ascii="Times New Roman" w:hAnsi="Times New Roman"/>
          <w:sz w:val="24"/>
        </w:rPr>
        <w:t xml:space="preserve"> </w:t>
      </w:r>
      <w:r>
        <w:rPr>
          <w:rFonts w:ascii="Times New Roman" w:hAnsi="Times New Roman"/>
          <w:sz w:val="24"/>
        </w:rPr>
        <w:t xml:space="preserve">conversation. In Barbara A. Fox (ed.),</w:t>
      </w:r>
      <w:r>
        <w:rPr>
          <w:rFonts w:ascii="Times New Roman" w:hAnsi="Times New Roman"/>
          <w:sz w:val="24"/>
        </w:rPr>
        <w:t xml:space="preserve"> </w:t>
      </w:r>
      <w:r>
        <w:rPr>
          <w:rFonts w:ascii="Times New Roman" w:hAnsi="Times New Roman"/>
          <w:i/>
          <w:iCs/>
          <w:sz w:val="24"/>
        </w:rPr>
        <w:t xml:space="preserve">Studies in anaphora</w:t>
      </w:r>
      <w:r>
        <w:rPr>
          <w:rFonts w:ascii="Times New Roman" w:hAnsi="Times New Roman"/>
          <w:sz w:val="24"/>
        </w:rPr>
        <w:t xml:space="preserve"> </w:t>
      </w:r>
      <w:r>
        <w:rPr>
          <w:rFonts w:ascii="Times New Roman" w:hAnsi="Times New Roman"/>
          <w:sz w:val="24"/>
        </w:rPr>
        <w:t xml:space="preserve">(Typological Studies in Language), vol. 33, 95–127. Amsterdam: John Benjamins.</w:t>
      </w:r>
    </w:p>
    <w:bookmarkEnd w:id="65"/>
    <w:bookmarkStart w:id="66" w:name="ref-Duranti2011"/>
    <w:p>
      <w:pPr>
        <w:pStyle w:val="Bibliography"/>
        <w:spacing w:line="480" w:lineRule="auto"/>
        <w:ind w:firstLine="720"/>
      </w:pPr>
      <w:r>
        <w:rPr>
          <w:rFonts w:ascii="Times New Roman" w:hAnsi="Times New Roman"/>
          <w:sz w:val="24"/>
        </w:rPr>
        <w:t xml:space="preserve">Duranti, Alessandro. 2011. Linguistic anthropology:</w:t>
      </w:r>
      <w:r>
        <w:rPr>
          <w:rFonts w:ascii="Times New Roman" w:hAnsi="Times New Roman"/>
          <w:sz w:val="24"/>
        </w:rPr>
        <w:t xml:space="preserve"> </w:t>
      </w: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study of language as a non-neutral medium. In Rajend Mesthrie (ed.),</w:t>
      </w:r>
      <w:r>
        <w:rPr>
          <w:rFonts w:ascii="Times New Roman" w:hAnsi="Times New Roman"/>
          <w:sz w:val="24"/>
        </w:rPr>
        <w:t xml:space="preserve"> </w:t>
      </w:r>
      <w:r>
        <w:rPr>
          <w:rFonts w:ascii="Times New Roman" w:hAnsi="Times New Roman"/>
          <w:i/>
          <w:iCs/>
          <w:sz w:val="24"/>
        </w:rPr>
        <w:t xml:space="preserve">The</w:t>
      </w:r>
      <w:r>
        <w:rPr>
          <w:rFonts w:ascii="Times New Roman" w:hAnsi="Times New Roman"/>
          <w:i/>
          <w:iCs/>
          <w:sz w:val="24"/>
        </w:rPr>
        <w:t xml:space="preserve"> </w:t>
      </w:r>
      <w:r>
        <w:rPr>
          <w:rFonts w:ascii="Times New Roman" w:hAnsi="Times New Roman"/>
          <w:i/>
          <w:iCs/>
          <w:sz w:val="24"/>
        </w:rPr>
        <w:t xml:space="preserve">Cambridge</w:t>
      </w:r>
      <w:r>
        <w:rPr>
          <w:rFonts w:ascii="Times New Roman" w:hAnsi="Times New Roman"/>
          <w:i/>
          <w:iCs/>
          <w:sz w:val="24"/>
        </w:rPr>
        <w:t xml:space="preserve"> </w:t>
      </w:r>
      <w:r>
        <w:rPr>
          <w:rFonts w:ascii="Times New Roman" w:hAnsi="Times New Roman"/>
          <w:i/>
          <w:iCs/>
          <w:sz w:val="24"/>
        </w:rPr>
        <w:t xml:space="preserve">handbook of sociolinguistics</w:t>
      </w:r>
      <w:r>
        <w:rPr>
          <w:rFonts w:ascii="Times New Roman" w:hAnsi="Times New Roman"/>
          <w:sz w:val="24"/>
        </w:rPr>
        <w:t xml:space="preserve">, 28–46. Cambridge: Cambridge University Press.</w:t>
      </w:r>
    </w:p>
    <w:bookmarkEnd w:id="66"/>
    <w:bookmarkStart w:id="67" w:name="ref-Dziwirek2019"/>
    <w:p>
      <w:pPr>
        <w:pStyle w:val="Bibliography"/>
        <w:spacing w:line="480" w:lineRule="auto"/>
        <w:ind w:firstLine="720"/>
      </w:pPr>
      <w:r>
        <w:rPr>
          <w:rFonts w:ascii="Times New Roman" w:hAnsi="Times New Roman"/>
          <w:sz w:val="24"/>
        </w:rPr>
        <w:t xml:space="preserve">Dziwirek, Katarzyna. 2019. Univerbation in</w:t>
      </w:r>
      <w:r>
        <w:rPr>
          <w:rFonts w:ascii="Times New Roman" w:hAnsi="Times New Roman"/>
          <w:sz w:val="24"/>
        </w:rPr>
        <w:t xml:space="preserve"> </w:t>
      </w:r>
      <w:r>
        <w:rPr>
          <w:rFonts w:ascii="Times New Roman" w:hAnsi="Times New Roman"/>
          <w:sz w:val="24"/>
        </w:rPr>
        <w:t xml:space="preserve">Polish</w:t>
      </w:r>
      <w:r>
        <w:rPr>
          <w:rFonts w:ascii="Times New Roman" w:hAnsi="Times New Roman"/>
          <w:sz w:val="24"/>
        </w:rPr>
        <w:t xml:space="preserve"> </w:t>
      </w:r>
      <w:r>
        <w:rPr>
          <w:rFonts w:ascii="Times New Roman" w:hAnsi="Times New Roman"/>
          <w:sz w:val="24"/>
        </w:rPr>
        <w:t xml:space="preserve">address forms.</w:t>
      </w:r>
      <w:r>
        <w:rPr>
          <w:rFonts w:ascii="Times New Roman" w:hAnsi="Times New Roman"/>
          <w:sz w:val="24"/>
        </w:rPr>
        <w:t xml:space="preserve"> </w:t>
      </w:r>
      <w:r>
        <w:rPr>
          <w:rFonts w:ascii="Times New Roman" w:hAnsi="Times New Roman"/>
          <w:i/>
          <w:iCs/>
          <w:sz w:val="24"/>
        </w:rPr>
        <w:t xml:space="preserve">Journal of Slavic Linguistics</w:t>
      </w:r>
      <w:r>
        <w:rPr>
          <w:rFonts w:ascii="Times New Roman" w:hAnsi="Times New Roman"/>
          <w:sz w:val="24"/>
        </w:rPr>
        <w:t xml:space="preserve"> </w:t>
      </w:r>
      <w:r>
        <w:rPr>
          <w:rFonts w:ascii="Times New Roman" w:hAnsi="Times New Roman"/>
          <w:sz w:val="24"/>
        </w:rPr>
        <w:t xml:space="preserve">27(2). 195–223.</w:t>
      </w:r>
    </w:p>
    <w:bookmarkEnd w:id="67"/>
    <w:bookmarkStart w:id="68" w:name="ref-ElbertPukui1979"/>
    <w:p>
      <w:pPr>
        <w:pStyle w:val="Bibliography"/>
        <w:spacing w:line="480" w:lineRule="auto"/>
        <w:ind w:firstLine="720"/>
      </w:pPr>
      <w:r>
        <w:rPr>
          <w:rFonts w:ascii="Times New Roman" w:hAnsi="Times New Roman"/>
          <w:sz w:val="24"/>
        </w:rPr>
        <w:t xml:space="preserve">Elbert, Samuel H. &amp; Mary Kawena Pukui. 1979.</w:t>
      </w:r>
      <w:r>
        <w:rPr>
          <w:rFonts w:ascii="Times New Roman" w:hAnsi="Times New Roman"/>
          <w:sz w:val="24"/>
        </w:rPr>
        <w:t xml:space="preserve"> </w:t>
      </w:r>
      <w:r>
        <w:rPr>
          <w:rFonts w:ascii="Times New Roman" w:hAnsi="Times New Roman"/>
          <w:i/>
          <w:iCs/>
          <w:sz w:val="24"/>
        </w:rPr>
        <w:t xml:space="preserve">Hawaiian grammar</w:t>
      </w:r>
      <w:r>
        <w:rPr>
          <w:rFonts w:ascii="Times New Roman" w:hAnsi="Times New Roman"/>
          <w:sz w:val="24"/>
        </w:rPr>
        <w:t xml:space="preserve">. Honolulu: University of Hawaii Press.</w:t>
      </w:r>
    </w:p>
    <w:bookmarkEnd w:id="68"/>
    <w:bookmarkStart w:id="69" w:name="ref-Heine2002"/>
    <w:p>
      <w:pPr>
        <w:pStyle w:val="Bibliography"/>
        <w:spacing w:line="480" w:lineRule="auto"/>
        <w:ind w:firstLine="720"/>
      </w:pPr>
      <w:r>
        <w:rPr>
          <w:rFonts w:ascii="Times New Roman" w:hAnsi="Times New Roman"/>
          <w:sz w:val="24"/>
        </w:rPr>
        <w:t xml:space="preserve">Heine, Bernd. 2002. On the role of context in grammaticalization. In Ilse Wischer &amp; Gabriele Diewald (eds.),</w:t>
      </w:r>
      <w:r>
        <w:rPr>
          <w:rFonts w:ascii="Times New Roman" w:hAnsi="Times New Roman"/>
          <w:sz w:val="24"/>
        </w:rPr>
        <w:t xml:space="preserve"> </w:t>
      </w:r>
      <w:r>
        <w:rPr>
          <w:rFonts w:ascii="Times New Roman" w:hAnsi="Times New Roman"/>
          <w:i/>
          <w:iCs/>
          <w:sz w:val="24"/>
        </w:rPr>
        <w:t xml:space="preserve">New reflections on grammaticalization</w:t>
      </w:r>
      <w:r>
        <w:rPr>
          <w:rFonts w:ascii="Times New Roman" w:hAnsi="Times New Roman"/>
          <w:sz w:val="24"/>
        </w:rPr>
        <w:t xml:space="preserve">, 83–102. Amsterdam/Philadelphia: John Benjamins.</w:t>
      </w:r>
    </w:p>
    <w:bookmarkEnd w:id="69"/>
    <w:bookmarkStart w:id="71" w:name="ref-Hill2022"/>
    <w:p>
      <w:pPr>
        <w:pStyle w:val="Bibliography"/>
        <w:spacing w:line="480" w:lineRule="auto"/>
        <w:ind w:firstLine="720"/>
      </w:pPr>
      <w:r>
        <w:rPr>
          <w:rFonts w:ascii="Times New Roman" w:hAnsi="Times New Roman"/>
          <w:sz w:val="24"/>
        </w:rPr>
        <w:t xml:space="preserve">Hill, Virginia. 2022. The syntactization of kinship in vocative phrases.</w:t>
      </w:r>
      <w:r>
        <w:rPr>
          <w:rFonts w:ascii="Times New Roman" w:hAnsi="Times New Roman"/>
          <w:sz w:val="24"/>
        </w:rPr>
        <w:t xml:space="preserve"> </w:t>
      </w:r>
      <w:r>
        <w:rPr>
          <w:rFonts w:ascii="Times New Roman" w:hAnsi="Times New Roman"/>
          <w:i/>
          <w:iCs/>
          <w:sz w:val="24"/>
        </w:rPr>
        <w:t xml:space="preserve">Glossa: a journal of general linguistics</w:t>
      </w:r>
      <w:r>
        <w:rPr>
          <w:rFonts w:ascii="Times New Roman" w:hAnsi="Times New Roman"/>
          <w:sz w:val="24"/>
        </w:rPr>
        <w:t xml:space="preserve"> </w:t>
      </w:r>
      <w:r>
        <w:rPr>
          <w:rFonts w:ascii="Times New Roman" w:hAnsi="Times New Roman"/>
          <w:sz w:val="24"/>
        </w:rPr>
        <w:t xml:space="preserve">7(1).</w:t>
      </w:r>
      <w:r>
        <w:rPr>
          <w:rFonts w:ascii="Times New Roman" w:hAnsi="Times New Roman"/>
          <w:sz w:val="24"/>
        </w:rPr>
        <w:t xml:space="preserve"> </w:t>
      </w:r>
      <w:hyperlink r:id="rId70">
        <w:r>
          <w:rPr>
            <w:rStyle w:val="Hyperlink"/>
          </w:rPr>
          <w:t xml:space="preserve">https://doi.org/10.16995/glossa.5791</w:t>
        </w:r>
      </w:hyperlink>
      <w:r>
        <w:rPr>
          <w:rFonts w:ascii="Times New Roman" w:hAnsi="Times New Roman"/>
          <w:sz w:val="24"/>
        </w:rPr>
        <w:t xml:space="preserve">.</w:t>
      </w:r>
    </w:p>
    <w:bookmarkEnd w:id="71"/>
    <w:bookmarkStart w:id="72" w:name="ref-Hodgkin1927"/>
    <w:p>
      <w:pPr>
        <w:pStyle w:val="Bibliography"/>
        <w:spacing w:line="480" w:lineRule="auto"/>
        <w:ind w:firstLine="720"/>
      </w:pPr>
      <w:r>
        <w:rPr>
          <w:rFonts w:ascii="Times New Roman" w:hAnsi="Times New Roman"/>
          <w:sz w:val="24"/>
        </w:rPr>
        <w:t xml:space="preserve">Hodgkin, L. V. 1927.</w:t>
      </w:r>
      <w:r>
        <w:rPr>
          <w:rFonts w:ascii="Times New Roman" w:hAnsi="Times New Roman"/>
          <w:sz w:val="24"/>
        </w:rPr>
        <w:t xml:space="preserve"> </w:t>
      </w:r>
      <w:r>
        <w:rPr>
          <w:rFonts w:ascii="Times New Roman" w:hAnsi="Times New Roman"/>
          <w:i/>
          <w:iCs/>
          <w:sz w:val="24"/>
        </w:rPr>
        <w:t xml:space="preserve">The shoemaker’s guest and other stories</w:t>
      </w:r>
      <w:r>
        <w:rPr>
          <w:rFonts w:ascii="Times New Roman" w:hAnsi="Times New Roman"/>
          <w:sz w:val="24"/>
        </w:rPr>
        <w:t xml:space="preserve">. London: Friends’ Book Centre.</w:t>
      </w:r>
    </w:p>
    <w:bookmarkEnd w:id="72"/>
    <w:bookmarkStart w:id="73" w:name="ref-Huddleston2002"/>
    <w:p>
      <w:pPr>
        <w:pStyle w:val="Bibliography"/>
        <w:spacing w:line="480" w:lineRule="auto"/>
        <w:ind w:firstLine="720"/>
      </w:pPr>
      <w:r>
        <w:rPr>
          <w:rFonts w:ascii="Times New Roman" w:hAnsi="Times New Roman"/>
          <w:sz w:val="24"/>
        </w:rPr>
        <w:t xml:space="preserve">Huddleston, Rodney &amp; Geoffrey K. Pullum. 2002.</w:t>
      </w:r>
      <w:r>
        <w:rPr>
          <w:rFonts w:ascii="Times New Roman" w:hAnsi="Times New Roman"/>
          <w:sz w:val="24"/>
        </w:rPr>
        <w:t xml:space="preserve"> </w:t>
      </w:r>
      <w:r>
        <w:rPr>
          <w:rFonts w:ascii="Times New Roman" w:hAnsi="Times New Roman"/>
          <w:i/>
          <w:iCs/>
          <w:sz w:val="24"/>
        </w:rPr>
        <w:t xml:space="preserve">The</w:t>
      </w:r>
      <w:r>
        <w:rPr>
          <w:rFonts w:ascii="Times New Roman" w:hAnsi="Times New Roman"/>
          <w:i/>
          <w:iCs/>
          <w:sz w:val="24"/>
        </w:rPr>
        <w:t xml:space="preserve"> </w:t>
      </w:r>
      <w:r>
        <w:rPr>
          <w:rFonts w:ascii="Times New Roman" w:hAnsi="Times New Roman"/>
          <w:i/>
          <w:iCs/>
          <w:sz w:val="24"/>
        </w:rPr>
        <w:t xml:space="preserve">Cambridge</w:t>
      </w:r>
      <w:r>
        <w:rPr>
          <w:rFonts w:ascii="Times New Roman" w:hAnsi="Times New Roman"/>
          <w:i/>
          <w:iCs/>
          <w:sz w:val="24"/>
        </w:rPr>
        <w:t xml:space="preserve"> </w:t>
      </w:r>
      <w:r>
        <w:rPr>
          <w:rFonts w:ascii="Times New Roman" w:hAnsi="Times New Roman"/>
          <w:i/>
          <w:iCs/>
          <w:sz w:val="24"/>
        </w:rPr>
        <w:t xml:space="preserve">grammar of the</w:t>
      </w:r>
      <w:r>
        <w:rPr>
          <w:rFonts w:ascii="Times New Roman" w:hAnsi="Times New Roman"/>
          <w:i/>
          <w:iCs/>
          <w:sz w:val="24"/>
        </w:rPr>
        <w:t xml:space="preserve"> </w:t>
      </w:r>
      <w:r>
        <w:rPr>
          <w:rFonts w:ascii="Times New Roman" w:hAnsi="Times New Roman"/>
          <w:i/>
          <w:iCs/>
          <w:sz w:val="24"/>
        </w:rPr>
        <w:t xml:space="preserve">English</w:t>
      </w:r>
      <w:r>
        <w:rPr>
          <w:rFonts w:ascii="Times New Roman" w:hAnsi="Times New Roman"/>
          <w:i/>
          <w:iCs/>
          <w:sz w:val="24"/>
        </w:rPr>
        <w:t xml:space="preserve"> </w:t>
      </w:r>
      <w:r>
        <w:rPr>
          <w:rFonts w:ascii="Times New Roman" w:hAnsi="Times New Roman"/>
          <w:i/>
          <w:iCs/>
          <w:sz w:val="24"/>
        </w:rPr>
        <w:t xml:space="preserve">language</w:t>
      </w:r>
      <w:r>
        <w:rPr>
          <w:rFonts w:ascii="Times New Roman" w:hAnsi="Times New Roman"/>
          <w:sz w:val="24"/>
        </w:rPr>
        <w:t xml:space="preserve">. Cambridge: Cambridge University Press.</w:t>
      </w:r>
    </w:p>
    <w:bookmarkEnd w:id="73"/>
    <w:bookmarkStart w:id="74" w:name="ref-IrvineGunner2018"/>
    <w:p>
      <w:pPr>
        <w:pStyle w:val="Bibliography"/>
        <w:spacing w:line="480" w:lineRule="auto"/>
        <w:ind w:firstLine="720"/>
      </w:pPr>
      <w:r>
        <w:rPr>
          <w:rFonts w:ascii="Times New Roman" w:hAnsi="Times New Roman"/>
          <w:sz w:val="24"/>
        </w:rPr>
        <w:t xml:space="preserve">Irvine, Judith T. &amp; Liz Gunner. 2018. Hlonipha and the ambiguity of cultural communication. In</w:t>
      </w:r>
      <w:r>
        <w:rPr>
          <w:rFonts w:ascii="Times New Roman" w:hAnsi="Times New Roman"/>
          <w:sz w:val="24"/>
        </w:rPr>
        <w:t xml:space="preserve"> </w:t>
      </w:r>
      <w:r>
        <w:rPr>
          <w:rFonts w:ascii="Times New Roman" w:hAnsi="Times New Roman"/>
          <w:i/>
          <w:iCs/>
          <w:sz w:val="24"/>
        </w:rPr>
        <w:t xml:space="preserve">Speech and society</w:t>
      </w:r>
      <w:r>
        <w:rPr>
          <w:rFonts w:ascii="Times New Roman" w:hAnsi="Times New Roman"/>
          <w:sz w:val="24"/>
        </w:rPr>
        <w:t xml:space="preserve">. Routledge.</w:t>
      </w:r>
    </w:p>
    <w:bookmarkEnd w:id="74"/>
    <w:bookmarkStart w:id="75" w:name="ref-Keenan2008"/>
    <w:p>
      <w:pPr>
        <w:pStyle w:val="Bibliography"/>
        <w:spacing w:line="480" w:lineRule="auto"/>
        <w:ind w:firstLine="720"/>
      </w:pPr>
      <w:r>
        <w:rPr>
          <w:rFonts w:ascii="Times New Roman" w:hAnsi="Times New Roman"/>
          <w:sz w:val="24"/>
        </w:rPr>
        <w:t xml:space="preserve">Keenan, Edward L. 2008. Relative clauses are phrase structural in</w:t>
      </w:r>
      <w:r>
        <w:rPr>
          <w:rFonts w:ascii="Times New Roman" w:hAnsi="Times New Roman"/>
          <w:sz w:val="24"/>
        </w:rPr>
        <w:t xml:space="preserve"> </w:t>
      </w:r>
      <w:r>
        <w:rPr>
          <w:rFonts w:ascii="Times New Roman" w:hAnsi="Times New Roman"/>
          <w:sz w:val="24"/>
        </w:rPr>
        <w:t xml:space="preserve">Malagasy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Language and Linguistics</w:t>
      </w:r>
      <w:r>
        <w:rPr>
          <w:rFonts w:ascii="Times New Roman" w:hAnsi="Times New Roman"/>
          <w:sz w:val="24"/>
        </w:rPr>
        <w:t xml:space="preserve"> </w:t>
      </w:r>
      <w:r>
        <w:rPr>
          <w:rFonts w:ascii="Times New Roman" w:hAnsi="Times New Roman"/>
          <w:sz w:val="24"/>
        </w:rPr>
        <w:t xml:space="preserve">9(4). 769–796.</w:t>
      </w:r>
    </w:p>
    <w:bookmarkEnd w:id="75"/>
    <w:bookmarkStart w:id="76" w:name="ref-Leech2014"/>
    <w:p>
      <w:pPr>
        <w:pStyle w:val="Bibliography"/>
        <w:spacing w:line="480" w:lineRule="auto"/>
        <w:ind w:firstLine="720"/>
      </w:pPr>
      <w:r>
        <w:rPr>
          <w:rFonts w:ascii="Times New Roman" w:hAnsi="Times New Roman"/>
          <w:sz w:val="24"/>
        </w:rPr>
        <w:t xml:space="preserve">Leech, Geoffrey. 2014.</w:t>
      </w:r>
      <w:r>
        <w:rPr>
          <w:rFonts w:ascii="Times New Roman" w:hAnsi="Times New Roman"/>
          <w:sz w:val="24"/>
        </w:rPr>
        <w:t xml:space="preserve"> </w:t>
      </w:r>
      <w:r>
        <w:rPr>
          <w:rFonts w:ascii="Times New Roman" w:hAnsi="Times New Roman"/>
          <w:i/>
          <w:iCs/>
          <w:sz w:val="24"/>
        </w:rPr>
        <w:t xml:space="preserve">The pragmatics of politeness</w:t>
      </w:r>
      <w:r>
        <w:rPr>
          <w:rFonts w:ascii="Times New Roman" w:hAnsi="Times New Roman"/>
          <w:sz w:val="24"/>
        </w:rPr>
        <w:t xml:space="preserve">. Oxford: Oxford University Press.</w:t>
      </w:r>
    </w:p>
    <w:bookmarkEnd w:id="76"/>
    <w:bookmarkStart w:id="77" w:name="ref-MacWhinney2000"/>
    <w:p>
      <w:pPr>
        <w:pStyle w:val="Bibliography"/>
        <w:spacing w:line="480" w:lineRule="auto"/>
        <w:ind w:firstLine="720"/>
      </w:pPr>
      <w:r>
        <w:rPr>
          <w:rFonts w:ascii="Times New Roman" w:hAnsi="Times New Roman"/>
          <w:sz w:val="24"/>
        </w:rPr>
        <w:t xml:space="preserve">MacWhinney, Brian. 2000.</w:t>
      </w:r>
      <w:r>
        <w:rPr>
          <w:rFonts w:ascii="Times New Roman" w:hAnsi="Times New Roman"/>
          <w:sz w:val="24"/>
        </w:rPr>
        <w:t xml:space="preserve"> </w:t>
      </w:r>
      <w:r>
        <w:rPr>
          <w:rFonts w:ascii="Times New Roman" w:hAnsi="Times New Roman"/>
          <w:i/>
          <w:iCs/>
          <w:sz w:val="24"/>
        </w:rPr>
        <w:t xml:space="preserve">The</w:t>
      </w:r>
      <w:r>
        <w:rPr>
          <w:rFonts w:ascii="Times New Roman" w:hAnsi="Times New Roman"/>
          <w:i/>
          <w:iCs/>
          <w:sz w:val="24"/>
        </w:rPr>
        <w:t xml:space="preserve"> </w:t>
      </w:r>
      <w:r>
        <w:rPr>
          <w:rFonts w:ascii="Times New Roman" w:hAnsi="Times New Roman"/>
          <w:i/>
          <w:iCs/>
          <w:sz w:val="24"/>
        </w:rPr>
        <w:t xml:space="preserve">CHILDES</w:t>
      </w:r>
      <w:r>
        <w:rPr>
          <w:rFonts w:ascii="Times New Roman" w:hAnsi="Times New Roman"/>
          <w:i/>
          <w:iCs/>
          <w:sz w:val="24"/>
        </w:rPr>
        <w:t xml:space="preserve"> </w:t>
      </w:r>
      <w:r>
        <w:rPr>
          <w:rFonts w:ascii="Times New Roman" w:hAnsi="Times New Roman"/>
          <w:i/>
          <w:iCs/>
          <w:sz w:val="24"/>
        </w:rPr>
        <w:t xml:space="preserve">project:</w:t>
      </w:r>
      <w:r>
        <w:rPr>
          <w:rFonts w:ascii="Times New Roman" w:hAnsi="Times New Roman"/>
          <w:i/>
          <w:iCs/>
          <w:sz w:val="24"/>
        </w:rPr>
        <w:t xml:space="preserve"> </w:t>
      </w:r>
      <w:r>
        <w:rPr>
          <w:rFonts w:ascii="Times New Roman" w:hAnsi="Times New Roman"/>
          <w:i/>
          <w:iCs/>
          <w:sz w:val="24"/>
        </w:rPr>
        <w:t xml:space="preserve">Tools</w:t>
      </w:r>
      <w:r>
        <w:rPr>
          <w:rFonts w:ascii="Times New Roman" w:hAnsi="Times New Roman"/>
          <w:i/>
          <w:iCs/>
          <w:sz w:val="24"/>
        </w:rPr>
        <w:t xml:space="preserve"> </w:t>
      </w:r>
      <w:r>
        <w:rPr>
          <w:rFonts w:ascii="Times New Roman" w:hAnsi="Times New Roman"/>
          <w:i/>
          <w:iCs/>
          <w:sz w:val="24"/>
        </w:rPr>
        <w:t xml:space="preserve">for analyzing talk</w:t>
      </w:r>
      <w:r>
        <w:rPr>
          <w:rFonts w:ascii="Times New Roman" w:hAnsi="Times New Roman"/>
          <w:sz w:val="24"/>
        </w:rPr>
        <w:t xml:space="preserve">. 3rd edn. Mahwah, NJ: Lawrence Erlbaum Associates.</w:t>
      </w:r>
    </w:p>
    <w:bookmarkEnd w:id="77"/>
    <w:bookmarkStart w:id="78" w:name="ref-Opler1941"/>
    <w:p>
      <w:pPr>
        <w:pStyle w:val="Bibliography"/>
        <w:spacing w:line="480" w:lineRule="auto"/>
        <w:ind w:firstLine="720"/>
      </w:pPr>
      <w:r>
        <w:rPr>
          <w:rFonts w:ascii="Times New Roman" w:hAnsi="Times New Roman"/>
          <w:sz w:val="24"/>
        </w:rPr>
        <w:t xml:space="preserve">Opler, Morris E. 1941.</w:t>
      </w:r>
      <w:r>
        <w:rPr>
          <w:rFonts w:ascii="Times New Roman" w:hAnsi="Times New Roman"/>
          <w:sz w:val="24"/>
        </w:rPr>
        <w:t xml:space="preserve"> </w:t>
      </w:r>
      <w:r>
        <w:rPr>
          <w:rFonts w:ascii="Times New Roman" w:hAnsi="Times New Roman"/>
          <w:i/>
          <w:iCs/>
          <w:sz w:val="24"/>
        </w:rPr>
        <w:t xml:space="preserve">An</w:t>
      </w:r>
      <w:r>
        <w:rPr>
          <w:rFonts w:ascii="Times New Roman" w:hAnsi="Times New Roman"/>
          <w:i/>
          <w:iCs/>
          <w:sz w:val="24"/>
        </w:rPr>
        <w:t xml:space="preserve"> </w:t>
      </w:r>
      <w:r>
        <w:rPr>
          <w:rFonts w:ascii="Times New Roman" w:hAnsi="Times New Roman"/>
          <w:i/>
          <w:iCs/>
          <w:sz w:val="24"/>
        </w:rPr>
        <w:t xml:space="preserve">Apache</w:t>
      </w:r>
      <w:r>
        <w:rPr>
          <w:rFonts w:ascii="Times New Roman" w:hAnsi="Times New Roman"/>
          <w:i/>
          <w:iCs/>
          <w:sz w:val="24"/>
        </w:rPr>
        <w:t xml:space="preserve"> </w:t>
      </w:r>
      <w:r>
        <w:rPr>
          <w:rFonts w:ascii="Times New Roman" w:hAnsi="Times New Roman"/>
          <w:i/>
          <w:iCs/>
          <w:sz w:val="24"/>
        </w:rPr>
        <w:t xml:space="preserve">life-way:</w:t>
      </w:r>
      <w:r>
        <w:rPr>
          <w:rFonts w:ascii="Times New Roman" w:hAnsi="Times New Roman"/>
          <w:i/>
          <w:iCs/>
          <w:sz w:val="24"/>
        </w:rPr>
        <w:t xml:space="preserve"> </w:t>
      </w:r>
      <w:r>
        <w:rPr>
          <w:rFonts w:ascii="Times New Roman" w:hAnsi="Times New Roman"/>
          <w:i/>
          <w:iCs/>
          <w:sz w:val="24"/>
        </w:rPr>
        <w:t xml:space="preserve">The</w:t>
      </w:r>
      <w:r>
        <w:rPr>
          <w:rFonts w:ascii="Times New Roman" w:hAnsi="Times New Roman"/>
          <w:i/>
          <w:iCs/>
          <w:sz w:val="24"/>
        </w:rPr>
        <w:t xml:space="preserve"> </w:t>
      </w:r>
      <w:r>
        <w:rPr>
          <w:rFonts w:ascii="Times New Roman" w:hAnsi="Times New Roman"/>
          <w:i/>
          <w:iCs/>
          <w:sz w:val="24"/>
        </w:rPr>
        <w:t xml:space="preserve">economic, social, and religious institutions of the</w:t>
      </w:r>
      <w:r>
        <w:rPr>
          <w:rFonts w:ascii="Times New Roman" w:hAnsi="Times New Roman"/>
          <w:i/>
          <w:iCs/>
          <w:sz w:val="24"/>
        </w:rPr>
        <w:t xml:space="preserve"> </w:t>
      </w:r>
      <w:r>
        <w:rPr>
          <w:rFonts w:ascii="Times New Roman" w:hAnsi="Times New Roman"/>
          <w:i/>
          <w:iCs/>
          <w:sz w:val="24"/>
        </w:rPr>
        <w:t xml:space="preserve">Chiricahua</w:t>
      </w:r>
      <w:r>
        <w:rPr>
          <w:rFonts w:ascii="Times New Roman" w:hAnsi="Times New Roman"/>
          <w:i/>
          <w:iCs/>
          <w:sz w:val="24"/>
        </w:rPr>
        <w:t xml:space="preserve"> </w:t>
      </w:r>
      <w:r>
        <w:rPr>
          <w:rFonts w:ascii="Times New Roman" w:hAnsi="Times New Roman"/>
          <w:i/>
          <w:iCs/>
          <w:sz w:val="24"/>
        </w:rPr>
        <w:t xml:space="preserve">Indians</w:t>
      </w:r>
      <w:r>
        <w:rPr>
          <w:rFonts w:ascii="Times New Roman" w:hAnsi="Times New Roman"/>
          <w:sz w:val="24"/>
        </w:rPr>
        <w:t xml:space="preserve">. Chicago: University of Chicago Press.</w:t>
      </w:r>
    </w:p>
    <w:bookmarkEnd w:id="78"/>
    <w:bookmarkStart w:id="79" w:name="ref-Paul2018"/>
    <w:p>
      <w:pPr>
        <w:pStyle w:val="Bibliography"/>
        <w:spacing w:line="480" w:lineRule="auto"/>
        <w:ind w:firstLine="720"/>
      </w:pPr>
      <w:r>
        <w:rPr>
          <w:rFonts w:ascii="Times New Roman" w:hAnsi="Times New Roman"/>
          <w:sz w:val="24"/>
        </w:rPr>
        <w:t xml:space="preserve">Paul, Ileana. 2018. The features of proper determiners in four varieties of</w:t>
      </w:r>
      <w:r>
        <w:rPr>
          <w:rFonts w:ascii="Times New Roman" w:hAnsi="Times New Roman"/>
          <w:sz w:val="24"/>
        </w:rPr>
        <w:t xml:space="preserve"> </w:t>
      </w:r>
      <w:r>
        <w:rPr>
          <w:rFonts w:ascii="Times New Roman" w:hAnsi="Times New Roman"/>
          <w:sz w:val="24"/>
        </w:rPr>
        <w:t xml:space="preserve">Malagasy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McGill Working Papers in Linguistics</w:t>
      </w:r>
      <w:r>
        <w:rPr>
          <w:rFonts w:ascii="Times New Roman" w:hAnsi="Times New Roman"/>
          <w:sz w:val="24"/>
        </w:rPr>
        <w:t xml:space="preserve"> </w:t>
      </w:r>
      <w:r>
        <w:rPr>
          <w:rFonts w:ascii="Times New Roman" w:hAnsi="Times New Roman"/>
          <w:sz w:val="24"/>
        </w:rPr>
        <w:t xml:space="preserve">25(1).</w:t>
      </w:r>
    </w:p>
    <w:bookmarkEnd w:id="79"/>
    <w:bookmarkStart w:id="80" w:name="ref-Potsdam2010"/>
    <w:p>
      <w:pPr>
        <w:pStyle w:val="Bibliography"/>
        <w:spacing w:line="480" w:lineRule="auto"/>
        <w:ind w:firstLine="720"/>
      </w:pPr>
      <w:r>
        <w:rPr>
          <w:rFonts w:ascii="Times New Roman" w:hAnsi="Times New Roman"/>
          <w:sz w:val="24"/>
        </w:rPr>
        <w:t xml:space="preserve">Potsdam, Eric. 2010. Sentential complementation in</w:t>
      </w:r>
      <w:r>
        <w:rPr>
          <w:rFonts w:ascii="Times New Roman" w:hAnsi="Times New Roman"/>
          <w:sz w:val="24"/>
        </w:rPr>
        <w:t xml:space="preserve"> </w:t>
      </w:r>
      <w:r>
        <w:rPr>
          <w:rFonts w:ascii="Times New Roman" w:hAnsi="Times New Roman"/>
          <w:sz w:val="24"/>
        </w:rPr>
        <w:t xml:space="preserve">Malagasy</w:t>
      </w:r>
      <w:r>
        <w:rPr>
          <w:rFonts w:ascii="Times New Roman" w:hAnsi="Times New Roman"/>
          <w:sz w:val="24"/>
        </w:rPr>
        <w:t xml:space="preserve">. In Andrea Rackowski &amp; Ileana Paul (eds.),</w:t>
      </w:r>
      <w:r>
        <w:rPr>
          <w:rFonts w:ascii="Times New Roman" w:hAnsi="Times New Roman"/>
          <w:sz w:val="24"/>
        </w:rPr>
        <w:t xml:space="preserve"> </w:t>
      </w:r>
      <w:r>
        <w:rPr>
          <w:rFonts w:ascii="Times New Roman" w:hAnsi="Times New Roman"/>
          <w:i/>
          <w:iCs/>
          <w:sz w:val="24"/>
        </w:rPr>
        <w:t xml:space="preserve">Proceedings of the</w:t>
      </w:r>
      <w:r>
        <w:rPr>
          <w:rFonts w:ascii="Times New Roman" w:hAnsi="Times New Roman"/>
          <w:i/>
          <w:iCs/>
          <w:sz w:val="24"/>
        </w:rPr>
        <w:t xml:space="preserve"> </w:t>
      </w:r>
      <w:r>
        <w:rPr>
          <w:rFonts w:ascii="Times New Roman" w:hAnsi="Times New Roman"/>
          <w:i/>
          <w:iCs/>
          <w:sz w:val="24"/>
        </w:rPr>
        <w:t xml:space="preserve">AFLA</w:t>
      </w:r>
      <w:r>
        <w:rPr>
          <w:rFonts w:ascii="Times New Roman" w:hAnsi="Times New Roman"/>
          <w:i/>
          <w:iCs/>
          <w:sz w:val="24"/>
        </w:rPr>
        <w:t xml:space="preserve"> </w:t>
      </w:r>
      <w:r>
        <w:rPr>
          <w:rFonts w:ascii="Times New Roman" w:hAnsi="Times New Roman"/>
          <w:i/>
          <w:iCs/>
          <w:sz w:val="24"/>
        </w:rPr>
        <w:t xml:space="preserve">17</w:t>
      </w:r>
      <w:r>
        <w:rPr>
          <w:rFonts w:ascii="Times New Roman" w:hAnsi="Times New Roman"/>
          <w:sz w:val="24"/>
        </w:rPr>
        <w:t xml:space="preserve">, 155–169. London, ON: University of Western Ontario.</w:t>
      </w:r>
    </w:p>
    <w:bookmarkEnd w:id="80"/>
    <w:bookmarkStart w:id="81" w:name="ref-SacksSchegloff1979"/>
    <w:p>
      <w:pPr>
        <w:pStyle w:val="Bibliography"/>
        <w:spacing w:line="480" w:lineRule="auto"/>
        <w:ind w:firstLine="720"/>
      </w:pPr>
      <w:r>
        <w:rPr>
          <w:rFonts w:ascii="Times New Roman" w:hAnsi="Times New Roman"/>
          <w:sz w:val="24"/>
        </w:rPr>
        <w:t xml:space="preserve">Sacks, Harvey &amp; Emanuel A. Schegloff. 1979. Two preferences in the organization of reference to persons in conversation and their interaction. In George Psathas (ed.),</w:t>
      </w:r>
      <w:r>
        <w:rPr>
          <w:rFonts w:ascii="Times New Roman" w:hAnsi="Times New Roman"/>
          <w:sz w:val="24"/>
        </w:rPr>
        <w:t xml:space="preserve"> </w:t>
      </w:r>
      <w:r>
        <w:rPr>
          <w:rFonts w:ascii="Times New Roman" w:hAnsi="Times New Roman"/>
          <w:i/>
          <w:iCs/>
          <w:sz w:val="24"/>
        </w:rPr>
        <w:t xml:space="preserve">Everyday language:</w:t>
      </w:r>
      <w:r>
        <w:rPr>
          <w:rFonts w:ascii="Times New Roman" w:hAnsi="Times New Roman"/>
          <w:i/>
          <w:iCs/>
          <w:sz w:val="24"/>
        </w:rPr>
        <w:t xml:space="preserve"> </w:t>
      </w:r>
      <w:r>
        <w:rPr>
          <w:rFonts w:ascii="Times New Roman" w:hAnsi="Times New Roman"/>
          <w:i/>
          <w:iCs/>
          <w:sz w:val="24"/>
        </w:rPr>
        <w:t xml:space="preserve">Studies</w:t>
      </w:r>
      <w:r>
        <w:rPr>
          <w:rFonts w:ascii="Times New Roman" w:hAnsi="Times New Roman"/>
          <w:i/>
          <w:iCs/>
          <w:sz w:val="24"/>
        </w:rPr>
        <w:t xml:space="preserve"> </w:t>
      </w:r>
      <w:r>
        <w:rPr>
          <w:rFonts w:ascii="Times New Roman" w:hAnsi="Times New Roman"/>
          <w:i/>
          <w:iCs/>
          <w:sz w:val="24"/>
        </w:rPr>
        <w:t xml:space="preserve">in ethnomethodology</w:t>
      </w:r>
      <w:r>
        <w:rPr>
          <w:rFonts w:ascii="Times New Roman" w:hAnsi="Times New Roman"/>
          <w:sz w:val="24"/>
        </w:rPr>
        <w:t xml:space="preserve">, 15–21. New York: Irvington.</w:t>
      </w:r>
    </w:p>
    <w:bookmarkEnd w:id="81"/>
    <w:bookmarkStart w:id="82" w:name="ref-Sloat1969"/>
    <w:p>
      <w:pPr>
        <w:pStyle w:val="Bibliography"/>
        <w:spacing w:line="480" w:lineRule="auto"/>
        <w:ind w:firstLine="720"/>
      </w:pPr>
      <w:r>
        <w:rPr>
          <w:rFonts w:ascii="Times New Roman" w:hAnsi="Times New Roman"/>
          <w:sz w:val="24"/>
        </w:rPr>
        <w:t xml:space="preserve">Sloat, Clarence. 1969. Proper nouns in</w:t>
      </w:r>
      <w:r>
        <w:rPr>
          <w:rFonts w:ascii="Times New Roman" w:hAnsi="Times New Roman"/>
          <w:sz w:val="24"/>
        </w:rPr>
        <w:t xml:space="preserve"> </w:t>
      </w:r>
      <w:r>
        <w:rPr>
          <w:rFonts w:ascii="Times New Roman" w:hAnsi="Times New Roman"/>
          <w:sz w:val="24"/>
        </w:rPr>
        <w:t xml:space="preserve">English</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Language</w:t>
      </w:r>
      <w:r>
        <w:rPr>
          <w:rFonts w:ascii="Times New Roman" w:hAnsi="Times New Roman"/>
          <w:sz w:val="24"/>
        </w:rPr>
        <w:t xml:space="preserve"> </w:t>
      </w:r>
      <w:r>
        <w:rPr>
          <w:rFonts w:ascii="Times New Roman" w:hAnsi="Times New Roman"/>
          <w:sz w:val="24"/>
        </w:rPr>
        <w:t xml:space="preserve">45(1). 26–30.</w:t>
      </w:r>
    </w:p>
    <w:bookmarkEnd w:id="82"/>
    <w:bookmarkStart w:id="83" w:name="ref-Traugott1993"/>
    <w:p>
      <w:pPr>
        <w:pStyle w:val="Bibliography"/>
        <w:spacing w:line="480" w:lineRule="auto"/>
        <w:ind w:firstLine="720"/>
      </w:pPr>
      <w:r>
        <w:rPr>
          <w:rFonts w:ascii="Times New Roman" w:hAnsi="Times New Roman"/>
          <w:sz w:val="24"/>
        </w:rPr>
        <w:t xml:space="preserve">Traugott, Elizabeth Closs. 1993. The rise of grammatical categories. In J. Börner &amp; K. Hölker (eds.),</w:t>
      </w:r>
      <w:r>
        <w:rPr>
          <w:rFonts w:ascii="Times New Roman" w:hAnsi="Times New Roman"/>
          <w:sz w:val="24"/>
        </w:rPr>
        <w:t xml:space="preserve"> </w:t>
      </w:r>
      <w:r>
        <w:rPr>
          <w:rFonts w:ascii="Times New Roman" w:hAnsi="Times New Roman"/>
          <w:i/>
          <w:iCs/>
          <w:sz w:val="24"/>
        </w:rPr>
        <w:t xml:space="preserve">Historische semantik</w:t>
      </w:r>
      <w:r>
        <w:rPr>
          <w:rFonts w:ascii="Times New Roman" w:hAnsi="Times New Roman"/>
          <w:sz w:val="24"/>
        </w:rPr>
        <w:t xml:space="preserve">, 356–361. Tübingen: Narr.</w:t>
      </w:r>
    </w:p>
    <w:bookmarkEnd w:id="83"/>
    <w:bookmarkStart w:id="85" w:name="ref-Traugott2003"/>
    <w:p>
      <w:pPr>
        <w:pStyle w:val="Bibliography"/>
        <w:spacing w:line="480" w:lineRule="auto"/>
        <w:ind w:firstLine="720"/>
      </w:pPr>
      <w:r>
        <w:rPr>
          <w:rFonts w:ascii="Times New Roman" w:hAnsi="Times New Roman"/>
          <w:sz w:val="24"/>
        </w:rPr>
        <w:t xml:space="preserve">Traugott, Elizabeth Closs &amp; Graeme Trousdale. 2013.</w:t>
      </w:r>
      <w:r>
        <w:rPr>
          <w:rFonts w:ascii="Times New Roman" w:hAnsi="Times New Roman"/>
          <w:sz w:val="24"/>
        </w:rPr>
        <w:t xml:space="preserve"> </w:t>
      </w:r>
      <w:r>
        <w:rPr>
          <w:rFonts w:ascii="Times New Roman" w:hAnsi="Times New Roman"/>
          <w:i/>
          <w:iCs/>
          <w:sz w:val="24"/>
        </w:rPr>
        <w:t xml:space="preserve">Grammaticalization</w:t>
      </w:r>
      <w:r>
        <w:rPr>
          <w:rFonts w:ascii="Times New Roman" w:hAnsi="Times New Roman"/>
          <w:sz w:val="24"/>
        </w:rPr>
        <w:t xml:space="preserve">. 2nd edn. Cambridge: Cambridge University Press.</w:t>
      </w:r>
      <w:r>
        <w:rPr>
          <w:rFonts w:ascii="Times New Roman" w:hAnsi="Times New Roman"/>
          <w:sz w:val="24"/>
        </w:rPr>
        <w:t xml:space="preserve"> </w:t>
      </w:r>
      <w:hyperlink r:id="rId84">
        <w:r>
          <w:rPr>
            <w:rStyle w:val="Hyperlink"/>
          </w:rPr>
          <w:t xml:space="preserve">https://doi.org/10.1017/CBO9781139020671</w:t>
        </w:r>
      </w:hyperlink>
      <w:r>
        <w:rPr>
          <w:rFonts w:ascii="Times New Roman" w:hAnsi="Times New Roman"/>
          <w:sz w:val="24"/>
        </w:rPr>
        <w:t xml:space="preserve">.</w:t>
      </w:r>
    </w:p>
    <w:bookmarkEnd w:id="85"/>
    <w:bookmarkStart w:id="86" w:name="ref-Wolfram2015"/>
    <w:p>
      <w:pPr>
        <w:pStyle w:val="Bibliography"/>
        <w:spacing w:line="480" w:lineRule="auto"/>
        <w:ind w:firstLine="720"/>
      </w:pPr>
      <w:r>
        <w:rPr>
          <w:rFonts w:ascii="Times New Roman" w:hAnsi="Times New Roman"/>
          <w:sz w:val="24"/>
        </w:rPr>
        <w:t xml:space="preserve">Wolfram, Walt &amp; Natalie Schilling. 2015.</w:t>
      </w:r>
      <w:r>
        <w:rPr>
          <w:rFonts w:ascii="Times New Roman" w:hAnsi="Times New Roman"/>
          <w:sz w:val="24"/>
        </w:rPr>
        <w:t xml:space="preserve"> </w:t>
      </w:r>
      <w:r>
        <w:rPr>
          <w:rFonts w:ascii="Times New Roman" w:hAnsi="Times New Roman"/>
          <w:i/>
          <w:iCs/>
          <w:sz w:val="24"/>
        </w:rPr>
        <w:t xml:space="preserve">American</w:t>
      </w:r>
      <w:r>
        <w:rPr>
          <w:rFonts w:ascii="Times New Roman" w:hAnsi="Times New Roman"/>
          <w:i/>
          <w:iCs/>
          <w:sz w:val="24"/>
        </w:rPr>
        <w:t xml:space="preserve"> </w:t>
      </w:r>
      <w:r>
        <w:rPr>
          <w:rFonts w:ascii="Times New Roman" w:hAnsi="Times New Roman"/>
          <w:i/>
          <w:iCs/>
          <w:sz w:val="24"/>
        </w:rPr>
        <w:t xml:space="preserve">English</w:t>
      </w:r>
      <w:r>
        <w:rPr>
          <w:rFonts w:ascii="Times New Roman" w:hAnsi="Times New Roman"/>
          <w:i/>
          <w:iCs/>
          <w:sz w:val="24"/>
        </w:rPr>
        <w:t xml:space="preserve">:</w:t>
      </w:r>
      <w:r>
        <w:rPr>
          <w:rFonts w:ascii="Times New Roman" w:hAnsi="Times New Roman"/>
          <w:i/>
          <w:iCs/>
          <w:sz w:val="24"/>
        </w:rPr>
        <w:t xml:space="preserve"> </w:t>
      </w:r>
      <w:r>
        <w:rPr>
          <w:rFonts w:ascii="Times New Roman" w:hAnsi="Times New Roman"/>
          <w:i/>
          <w:iCs/>
          <w:sz w:val="24"/>
        </w:rPr>
        <w:t xml:space="preserve">Dialects</w:t>
      </w:r>
      <w:r>
        <w:rPr>
          <w:rFonts w:ascii="Times New Roman" w:hAnsi="Times New Roman"/>
          <w:i/>
          <w:iCs/>
          <w:sz w:val="24"/>
        </w:rPr>
        <w:t xml:space="preserve"> </w:t>
      </w:r>
      <w:r>
        <w:rPr>
          <w:rFonts w:ascii="Times New Roman" w:hAnsi="Times New Roman"/>
          <w:i/>
          <w:iCs/>
          <w:sz w:val="24"/>
        </w:rPr>
        <w:t xml:space="preserve">and variation</w:t>
      </w:r>
      <w:r>
        <w:rPr>
          <w:rFonts w:ascii="Times New Roman" w:hAnsi="Times New Roman"/>
          <w:sz w:val="24"/>
        </w:rPr>
        <w:t xml:space="preserve">. 3rd edn. Malden, MA: Wiley-Blackwell.</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w:endnote w:id="-1" w:type="continuationSeparator">
    <w:p>
      <w:r>
        <w:continuationSeparator/>
      </w:r>
    </w:p>
  </w:endnote>
  <w:endnote w:id="0" w:type="separator">
    <w:p>
      <w:r>
        <w:separator/>
      </w:r>
    </w:p>
  </w:endnote>
  <w:endnote w:id="9">
    <w:p>
      <w:pPr>
        <w:pStyle w:val="EndnoteText"/>
      </w:pPr>
      <w:r>
        <w:rPr>
          <w:rStyle w:val="EndnoteReference"/>
        </w:rPr>
        <w:endnoteRef/>
      </w:r>
      <w:r>
        <w:t xml:space="preserve"> </w:t>
      </w:r>
      <w:r>
        <w:t xml:space="preserve">Disney, 1998.</w:t>
      </w:r>
    </w:p>
  </w:endnote>
  <w:endnote w:id="11">
    <w:p>
      <w:pPr>
        <w:pStyle w:val="EndnoteText"/>
      </w:pPr>
      <w:r>
        <w:rPr>
          <w:rStyle w:val="EndnoteReference"/>
        </w:rPr>
        <w:endnoteRef/>
      </w:r>
      <w:r>
        <w:t xml:space="preserve"> </w:t>
      </w:r>
      <w:r>
        <w:t xml:space="preserve">Vocative NPs exclude most determinatives; for kinship terms, bare use is standard. See Section </w:t>
      </w:r>
      <w:hyperlink w:anchor="sec:syntax">
        <w:r>
          <w:rPr>
            <w:rStyle w:val="Hyperlink"/>
          </w:rPr>
          <w:t xml:space="preserve">3</w:t>
        </w:r>
      </w:hyperlink>
      <w:r>
        <w:t xml:space="preserve"> </w:t>
      </w:r>
      <w:r>
        <w:t xml:space="preserve">for the full distributional picture.</w:t>
      </w:r>
    </w:p>
  </w:endnote>
  <w:endnote w:id="18">
    <w:p>
      <w:pPr>
        <w:pStyle w:val="EndnoteText"/>
      </w:pPr>
      <w:r>
        <w:rPr>
          <w:rStyle w:val="EndnoteReference"/>
        </w:rPr>
        <w:endnoteRef/>
      </w:r>
      <w:r>
        <w:t xml:space="preserve"> </w:t>
      </w:r>
      <w:r>
        <w:t xml:space="preserve">The English norm is weaker than ritual taboos like hlonipha; I retain</w:t>
      </w:r>
      <w:r>
        <w:t xml:space="preserve"> </w:t>
      </w:r>
      <w:r>
        <w:rPr>
          <w:smallCaps/>
        </w:rPr>
        <w:t xml:space="preserve">taboo</w:t>
      </w:r>
      <w:r>
        <w:t xml:space="preserve"> </w:t>
      </w:r>
      <w:r>
        <w:t xml:space="preserve">because violation triggers correction and affective discomfort beyond mere preference, but the mechanism proposed here requires only consistent prohibition, not ritual sanction.</w:t>
      </w:r>
    </w:p>
  </w:endnote>
  <w:endnote w:id="22">
    <w:p>
      <w:pPr>
        <w:pStyle w:val="EndnoteText"/>
      </w:pPr>
      <w:r>
        <w:rPr>
          <w:rStyle w:val="EndnoteReference"/>
        </w:rPr>
        <w:endnoteRef/>
      </w:r>
      <w:r>
        <w:t xml:space="preserve"> </w:t>
      </w:r>
      <w:r>
        <w:t xml:space="preserve">[URL removed for anonymous review]</w:t>
      </w:r>
    </w:p>
  </w:endnote>
</w:endnote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ndnotePr>
    <w:numFmt w:val="decimal"/>
  </w:endnotePr>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480" w:lineRule="auto"/>
      <w:contextualSpacing/>
      <w:jc w:val="center"/>
    </w:pPr>
    <w:rPr>
      <w:rFonts w:asciiTheme="majorHAnsi" w:cstheme="majorBidi" w:eastAsiaTheme="majorEastAsia" w:hAnsiTheme="majorHAnsi" w:ascii="Times New Roman" w:hAnsi="Times New Roman"/>
      <w:b/>
      <w:i w:val="0"/>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480" w:lineRule="auto"/>
      <w:jc w:val="center"/>
    </w:pPr>
    <w:rPr>
      <w:rFonts w:ascii="Times New Roman" w:hAnsi="Times New Roman"/>
      <w:b/>
      <w:i w:val="0"/>
      <w:color w:val="000000"/>
      <w:sz w:val="24"/>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outlineLvl w:val="0"/>
    </w:pPr>
    <w:rPr>
      <w:rFonts w:asciiTheme="majorHAnsi" w:cstheme="majorBidi" w:eastAsiaTheme="majorEastAsia" w:hAnsiTheme="majorHAnsi" w:ascii="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outlineLvl w:val="1"/>
    </w:pPr>
    <w:rPr>
      <w:rFonts w:asciiTheme="majorHAnsi" w:cstheme="majorBidi" w:eastAsiaTheme="majorEastAsia" w:hAnsiTheme="majorHAnsi" w:ascii="Times New Roman" w:hAnsi="Times New Roman"/>
      <w:b/>
      <w:i/>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outlineLvl w:val="2"/>
    </w:pPr>
    <w:rPr>
      <w:rFonts w:cstheme="majorBidi" w:eastAsiaTheme="majorEastAsia" w:ascii="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EndnoteReference">
    <w:name w:val="endnote reference"/>
    <w:rPr>
      <w:vertAlign w:val="superscript"/>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Id="rId8" Type="http://schemas.openxmlformats.org/officeDocument/2006/relationships/numbering" Target="numbering.xml" /><ns0:Relationship Id="rId7" Type="http://schemas.openxmlformats.org/officeDocument/2006/relationships/styles" Target="styles.xml" /><ns0:Relationship Id="rId6" Type="http://schemas.openxmlformats.org/officeDocument/2006/relationships/settings" Target="settings.xml" /><ns0:Relationship Id="rId5" Type="http://schemas.openxmlformats.org/officeDocument/2006/relationships/webSettings" Target="webSettings.xml" /><ns0:Relationship Id="rId4" Type="http://schemas.openxmlformats.org/officeDocument/2006/relationships/fontTable" Target="fontTable.xml" /><ns0:Relationship Id="rId3" Type="http://schemas.openxmlformats.org/officeDocument/2006/relationships/theme" Target="theme/theme1.xml" /><ns0:Relationship Id="rId2" Type="http://schemas.openxmlformats.org/officeDocument/2006/relationships/footnotes" Target="footnotes.xml" /><ns0:Relationship Id="rId1" Type="http://schemas.openxmlformats.org/officeDocument/2006/relationships/comments" Target="comments.xml" /><ns0:Relationship Id="rId33" Type="http://schemas.openxmlformats.org/officeDocument/2006/relationships/image" Target="media/rId33.pdf" /><ns0:Relationship Id="rId25" Type="http://schemas.openxmlformats.org/officeDocument/2006/relationships/image" Target="media/rId25.pdf" /><ns0:Relationship Id="rId29" Type="http://schemas.openxmlformats.org/officeDocument/2006/relationships/image" Target="media/rId29.pdf" /><ns0:Relationship Id="rId60" Type="http://schemas.openxmlformats.org/officeDocument/2006/relationships/hyperlink" Target="https://doi.org/10.1017/CBO9780511750526" TargetMode="External" /><ns0:Relationship Id="rId84" Type="http://schemas.openxmlformats.org/officeDocument/2006/relationships/hyperlink" Target="https://doi.org/10.1017/CBO9781139020671" TargetMode="External" /><ns0:Relationship Id="rId63" Type="http://schemas.openxmlformats.org/officeDocument/2006/relationships/hyperlink" Target="https://doi.org/10.1017/S0022226797006488" TargetMode="External" /><ns0:Relationship Id="rId58" Type="http://schemas.openxmlformats.org/officeDocument/2006/relationships/hyperlink" Target="https://doi.org/10.1353/lan.2006.0186" TargetMode="External" /><ns0:Relationship Id="rId70" Type="http://schemas.openxmlformats.org/officeDocument/2006/relationships/hyperlink" Target="https://doi.org/10.16995/glossa.5791" TargetMode="External" /><Relationship Id="rId9" Type="http://schemas.openxmlformats.org/officeDocument/2006/relationships/endnotes" Target="endnotes.xml" /></ns0:Relationships>
</file>

<file path=word/_rels/footnotes.xml.rels><?xml version='1.0' encoding='UTF-8' standalone='yes'?>
<Relationships xmlns="http://schemas.openxmlformats.org/package/2006/relationships"><Relationship Id="rId60" Type="http://schemas.openxmlformats.org/officeDocument/2006/relationships/hyperlink" Target="https://doi.org/10.1017/CBO9780511750526" TargetMode="External"/><Relationship Id="rId84" Type="http://schemas.openxmlformats.org/officeDocument/2006/relationships/hyperlink" Target="https://doi.org/10.1017/CBO9781139020671" TargetMode="External"/><Relationship Id="rId63" Type="http://schemas.openxmlformats.org/officeDocument/2006/relationships/hyperlink" Target="https://doi.org/10.1017/S0022226797006488" TargetMode="External"/><Relationship Id="rId58" Type="http://schemas.openxmlformats.org/officeDocument/2006/relationships/hyperlink" Target="https://doi.org/10.1353/lan.2006.0186" TargetMode="External"/><Relationship Id="rId70" Type="http://schemas.openxmlformats.org/officeDocument/2006/relationships/hyperlink" Target="https://doi.org/10.16995/glossa.57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kinship terms: From taboo to syntax</dc:title>
  <dc:creator>[Anonymous for review]</dc:creator>
  <cp:keywords/>
  <dcterms:created xsi:type="dcterms:W3CDTF">2026-02-12T02:59:11Z</dcterms:created>
  <dcterms:modified xsi:type="dcterms:W3CDTF">2026-02-12T02:59:11Z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English-speaking children rarely address parents by first name – a social prohibition encoding power and solidarity. Separately, English kinship terms like Mom and Dad permit bare singular use (Mom called) where other count nouns don’t (*Neighbour called, in ordinary conversation). While previous work approaches this interface (Downing 1996), the specific link between the naming taboo and the syntactic outcome – determinerless argumental structure – remains unexplored. I argue that the naming taboo causes the proper-noun-like syntax: high-frequency use of kinship terms in vocative function – forced by the prohibition on first names – produces grammaticalization toward strong proper-name status. Corpus data from CHILDES confirm that parent terms show disproportionate vocative concentration (16–43%) compared to extended kin terms (4–7%), and vocative concentration correlates with bare-argument realization rates across terms (Spearman \rho = 0.73). Children, not caregivers, drive the vocative skew. The CGEL category/function distinction provides the analytical apparatus; the taboo is the engine, the syntax is the sediment.</vt:lpwstr>
  </property>
  <property fmtid="{D5CDD505-2E9C-101B-9397-08002B2CF9AE}" pid="3" name="bibliography">
    <vt:lpwstr>references.bib</vt:lpwstr>
  </property>
  <property fmtid="{D5CDD505-2E9C-101B-9397-08002B2CF9AE}" pid="4" name="csl">
    <vt:lpwstr>unified-linguistics.csl</vt:lpwstr>
  </property>
  <property fmtid="{D5CDD505-2E9C-101B-9397-08002B2CF9AE}" pid="5" name="date">
    <vt:lpwstr>2026-02-11</vt:lpwstr>
  </property>
</Properties>
</file>