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76" w:lineRule="auto"/>
      </w:pPr>
      <w:r>
        <w:rPr>
          <w:rFonts w:ascii="Calibri" w:hAnsi="Calibri" w:eastAsia="Calibri" w:cs="Calibri"/>
          <w:b/>
          <w:sz w:val="44"/>
        </w:rPr>
        <w:t>Chapter 18 Master English Terms for Localizers</w:t>
      </w:r>
    </w:p>
    <w:p>
      <w:pPr>
        <w:spacing w:before="0" w:after="240" w:line="276" w:lineRule="auto"/>
      </w:pPr>
      <w:r>
        <w:rPr>
          <w:rFonts w:ascii="Calibri" w:hAnsi="Calibri" w:eastAsia="Calibri" w:cs="Calibri"/>
          <w:color w:val="555555"/>
          <w:sz w:val="24"/>
        </w:rPr>
        <w:t>Subordination and coordination - compact reference guide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sz w:val="22"/>
        </w:rPr>
        <w:t>Purpose: give localizers a single English reference list for Chapter 18, "Subordination and coordination." This is not a list of required target-language translations. It identifies the English terms whose technical force should be preserved, especially at first occurrence.</w:t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Global Rule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sz w:val="22"/>
        </w:rPr>
        <w:t>At first occurrence, use the chosen target-language term and give the English term in parentheses:</w:t>
      </w:r>
    </w:p>
    <w:p>
      <w:pPr>
        <w:spacing w:before="40" w:after="200" w:line="276" w:lineRule="auto"/>
        <w:shd w:fill="F2F4F7"/>
      </w:pPr>
      <w:r>
        <w:rPr>
          <w:rFonts w:ascii="Consolas" w:hAnsi="Consolas" w:eastAsia="Consolas" w:cs="Consolas"/>
          <w:sz w:val="19"/>
        </w:rPr>
        <w:t>\term{target-language term} (\term{English term})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sz w:val="22"/>
        </w:rPr>
        <w:t>After first occurrence, use the target-language term alone unless the local term is risky or the paragraph explicitly compares terms. If the local equivalent invites a likely misconstrual, add a short warning, analogy, or diagnostic in the prose. The translated chapter may therefore contain brief explanatory material that is not in the English source.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sz w:val="22"/>
        </w:rPr>
        <w:t xml:space="preserve">Keep </w:t>
      </w:r>
      <w:r>
        <w:rPr>
          <w:rFonts w:ascii="Consolas" w:hAnsi="Consolas" w:eastAsia="Consolas" w:cs="Consolas"/>
          <w:b w:val="0"/>
          <w:sz w:val="19"/>
        </w:rPr>
        <w:t>Sdr</w:t>
      </w:r>
      <w:r>
        <w:rPr>
          <w:rFonts w:ascii="Calibri" w:hAnsi="Calibri" w:eastAsia="Calibri" w:cs="Calibri"/>
          <w:b w:val="0"/>
          <w:sz w:val="22"/>
        </w:rPr>
        <w:t xml:space="preserve">, </w:t>
      </w:r>
      <w:r>
        <w:rPr>
          <w:rFonts w:ascii="Consolas" w:hAnsi="Consolas" w:eastAsia="Consolas" w:cs="Consolas"/>
          <w:b w:val="0"/>
          <w:sz w:val="19"/>
        </w:rPr>
        <w:t>Crd</w:t>
      </w:r>
      <w:r>
        <w:rPr>
          <w:rFonts w:ascii="Calibri" w:hAnsi="Calibri" w:eastAsia="Calibri" w:cs="Calibri"/>
          <w:b w:val="0"/>
          <w:sz w:val="22"/>
        </w:rPr>
        <w:t xml:space="preserve">, and </w:t>
      </w:r>
      <w:r>
        <w:rPr>
          <w:rFonts w:ascii="Consolas" w:hAnsi="Consolas" w:eastAsia="Consolas" w:cs="Consolas"/>
          <w:b w:val="0"/>
          <w:sz w:val="19"/>
        </w:rPr>
        <w:t>Mk</w:t>
      </w:r>
      <w:r>
        <w:rPr>
          <w:rFonts w:ascii="Calibri" w:hAnsi="Calibri" w:eastAsia="Calibri" w:cs="Calibri"/>
          <w:b w:val="0"/>
          <w:sz w:val="22"/>
        </w:rPr>
        <w:t xml:space="preserve"> as compact analytical labels unless a local edition remakes the figures and tree labels throughout.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sz w:val="22"/>
        </w:rPr>
        <w:t xml:space="preserve">For </w:t>
      </w:r>
      <w:r>
        <w:rPr>
          <w:rFonts w:ascii="Consolas" w:hAnsi="Consolas" w:eastAsia="Consolas" w:cs="Consolas"/>
          <w:b w:val="0"/>
          <w:sz w:val="19"/>
        </w:rPr>
        <w:t>\mention{...}</w:t>
      </w:r>
      <w:r>
        <w:rPr>
          <w:rFonts w:ascii="Calibri" w:hAnsi="Calibri" w:eastAsia="Calibri" w:cs="Calibri"/>
          <w:b w:val="0"/>
          <w:sz w:val="22"/>
        </w:rPr>
        <w:t xml:space="preserve">, leave the English object-language form in English when the form itself is being discussed. Add a local gloss only when needed for comprehension, for example the </w:t>
      </w:r>
      <w:r>
        <w:rPr>
          <w:rFonts w:ascii="Consolas" w:hAnsi="Consolas" w:eastAsia="Consolas" w:cs="Consolas"/>
          <w:b w:val="0"/>
          <w:sz w:val="19"/>
        </w:rPr>
        <w:t>whether</w:t>
      </w:r>
      <w:r>
        <w:rPr>
          <w:rFonts w:ascii="Calibri" w:hAnsi="Calibri" w:eastAsia="Calibri" w:cs="Calibri"/>
          <w:b w:val="0"/>
          <w:sz w:val="22"/>
        </w:rPr>
        <w:t xml:space="preserve"> meaning of </w:t>
      </w:r>
      <w:r>
        <w:rPr>
          <w:rFonts w:ascii="Consolas" w:hAnsi="Consolas" w:eastAsia="Consolas" w:cs="Consolas"/>
          <w:b w:val="0"/>
          <w:sz w:val="19"/>
        </w:rPr>
        <w:t>if</w:t>
      </w:r>
      <w:r>
        <w:rPr>
          <w:rFonts w:ascii="Calibri" w:hAnsi="Calibri" w:eastAsia="Calibri" w:cs="Calibri"/>
          <w:b w:val="0"/>
          <w:sz w:val="22"/>
        </w:rPr>
        <w:t xml:space="preserve">, or the "at least as tall as" reading of </w:t>
      </w:r>
      <w:r>
        <w:rPr>
          <w:rFonts w:ascii="Consolas" w:hAnsi="Consolas" w:eastAsia="Consolas" w:cs="Consolas"/>
          <w:b w:val="0"/>
          <w:sz w:val="19"/>
        </w:rPr>
        <w:t>as tall as</w:t>
      </w:r>
      <w:r>
        <w:rPr>
          <w:rFonts w:ascii="Calibri" w:hAnsi="Calibri" w:eastAsia="Calibri" w:cs="Calibri"/>
          <w:b w:val="0"/>
          <w:sz w:val="22"/>
        </w:rPr>
        <w:t>.</w:t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Core Terms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Ind w:w="120" w:type="dxa"/>
      </w:tblPr>
      <w:tblGrid>
        <w:gridCol w:w="2520"/>
        <w:gridCol w:w="936"/>
        <w:gridCol w:w="5904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color w:val="000000"/>
                <w:sz w:val="21"/>
              </w:rPr>
              <w:t>English term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color w:val="000000"/>
                <w:sz w:val="21"/>
              </w:rPr>
              <w:t>Abbrev.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color w:val="000000"/>
                <w:sz w:val="21"/>
              </w:rPr>
              <w:t>Localizer note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subordination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Process/relation in which one clause is made dependent within another structure. Contrast with coordination as hierarchy vs equality.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coordination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Equal-status joining. Do not let the term mean only loose discourse connection, administrative coordination, or semantic relatedness.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subordinate clause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A clause that is dependent within another structure. Relational term.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matrix clause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The clause that contains a subordinate clause. Relational term. Do not collapse into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main clause</w:t>
            </w:r>
            <w:r>
              <w:rPr>
                <w:rFonts w:ascii="Calibri" w:hAnsi="Calibri" w:eastAsia="Calibri" w:cs="Calibri"/>
                <w:b w:val="0"/>
                <w:sz w:val="20"/>
              </w:rPr>
              <w:t>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main clause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A clause not contained in a larger matrix clause. Syntactic type, not a relational position.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dependent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Element that depends on another element in structure. Used when defining subordination and markers.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content clause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Default type of subordinate clause, not defined by complement function. Avoid terms that imply "complement clause" unless clearly framed as a bridge.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declarative content clause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Content clause with declarative form/meaning. Do not translate as "affirmative"; polarity is separate.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interrogative content clause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Content clause with interrogative form/meaning. Do not reduce to "question."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basic interrogative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The book's label for the yes/no-type interrogatives in this chapter. Do not silently replace with a different framework's term.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focused interrogative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The book's label for interrogatives with a focused interrogative word such as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what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or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how</w:t>
            </w:r>
            <w:r>
              <w:rPr>
                <w:rFonts w:ascii="Calibri" w:hAnsi="Calibri" w:eastAsia="Calibri" w:cs="Calibri"/>
                <w:b w:val="0"/>
                <w:sz w:val="20"/>
              </w:rPr>
              <w:t>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comparative clause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Subordinate clause completing a comparison, typically with ellipsis.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relative clause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Subordinate clause type treated mainly in Chapter 19. Keep distinct from content and comparative clauses.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subordinator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20"/>
              </w:rPr>
              <w:t>Sdr</w:t>
            </w: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Lexical category containing items such as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that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whether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, and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if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meaning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whether</w:t>
            </w:r>
            <w:r>
              <w:rPr>
                <w:rFonts w:ascii="Calibri" w:hAnsi="Calibri" w:eastAsia="Calibri" w:cs="Calibri"/>
                <w:b w:val="0"/>
                <w:sz w:val="20"/>
              </w:rPr>
              <w:t>. It functions as a marker; it is not a head and does not project an SdrP.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coordinator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20"/>
              </w:rPr>
              <w:t>Crd</w:t>
            </w: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Lexical category containing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and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or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, and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but</w:t>
            </w:r>
            <w:r>
              <w:rPr>
                <w:rFonts w:ascii="Calibri" w:hAnsi="Calibri" w:eastAsia="Calibri" w:cs="Calibri"/>
                <w:b w:val="0"/>
                <w:sz w:val="20"/>
              </w:rPr>
              <w:t>. It functions as a marker in coordination; do not treat it as the head of the whole coordinate structure.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marker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20"/>
              </w:rPr>
              <w:t>Mk</w:t>
            </w: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Syntactic function: a dependent that signals how its head relates grammatically to a larger structure. Distinguish from the categories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subordinator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and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coordinator</w:t>
            </w:r>
            <w:r>
              <w:rPr>
                <w:rFonts w:ascii="Calibri" w:hAnsi="Calibri" w:eastAsia="Calibri" w:cs="Calibri"/>
                <w:b w:val="0"/>
                <w:sz w:val="20"/>
              </w:rPr>
              <w:t>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coordinate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One of the equal-status elements in a coordinate structure. Can be a clause, phrase, or sometimes a mixed category where the function is shared.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coordinate structure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The whole non-headed construction made up of coordinates, usually with or without coordinators.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non-headed construction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A construction with no single head. Important for coordination.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head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Structural center of a headed phrase/clause. Coordination is different because no coordinate is the head of the whole.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complement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A dependent licensed by a head. In Chapter 18 it is important because content clauses can appear as complements but are not defined only by that function.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modifier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A dependent that adds information without being selected in the same way as a complement.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adjunct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Modifier-like function used in labels such as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time adjuncts</w:t>
            </w:r>
            <w:r>
              <w:rPr>
                <w:rFonts w:ascii="Calibri" w:hAnsi="Calibri" w:eastAsia="Calibri" w:cs="Calibri"/>
                <w:b w:val="0"/>
                <w:sz w:val="20"/>
              </w:rPr>
              <w:t>. Avoid local school-grammar terms that blur complement vs adjunct if they create confusion.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syntactic function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Function in a larger structure, such as complement, modifier, subject, or coordinate. Coordination requires functional similarity.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lexical category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Word-class category such as noun, verb, subordinator, or coordinator. Distinguish from syntactic function.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phrase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Headed unit below clause level. Important where local terms for "phrase" may be false friends for "sentence."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clause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VP-headed syntactic unit, normally with a subject. Keep distinct from sentence and phrase.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finite subordinate clause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Mentioned in the overview of subordinate-clause types.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non-finite subordinate clause</w:t>
            </w:r>
          </w:p>
        </w:tc>
        <w:tc>
          <w:tcPr>
            <w:tcW w:type="dxa" w:w="936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type="dxa" w:w="590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Mentioned in a footnote only; no full treatment in this sample.</w:t>
            </w:r>
          </w:p>
        </w:tc>
      </w:tr>
    </w:tbl>
    <w:p/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Coordination Terms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color w:val="000000"/>
                <w:sz w:val="21"/>
              </w:rPr>
              <w:t>English term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color w:val="000000"/>
                <w:sz w:val="21"/>
              </w:rPr>
              <w:t>Localizer note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sentence-initial coordinator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A coordinator such as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and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or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but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at the beginning of a sentence. The chapter rejects the prescriptive ban but says this is not tight syntactic coordination with the previous sentence.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discourse connector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The function a sentence-initial coordinator can serve across sentences. Keep distinct from syntactic coordination inside a single structure.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symmetric coordination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Order of coordinates does not affect the relevant meaning.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asymmetric coordination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Order of coordinates affects meaning, often because it implies temporal or logical sequence.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distributive coordination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The property applies to each coordinate individually.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joint coordination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The property applies to the coordinates together as a group.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asyndetic coordination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Coordination without an overt coordinator.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syndetic coordination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Coordination with an overt coordinator.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repeated coordinators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Pattern such as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red or white or blue</w:t>
            </w:r>
            <w:r>
              <w:rPr>
                <w:rFonts w:ascii="Calibri" w:hAnsi="Calibri" w:eastAsia="Calibri" w:cs="Calibri"/>
                <w:b w:val="0"/>
                <w:sz w:val="20"/>
              </w:rPr>
              <w:t>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correlative coordination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Coordination with paired or distributed markers, such as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both...and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either...or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neither...nor</w:t>
            </w:r>
            <w:r>
              <w:rPr>
                <w:rFonts w:ascii="Calibri" w:hAnsi="Calibri" w:eastAsia="Calibri" w:cs="Calibri"/>
                <w:b w:val="0"/>
                <w:sz w:val="20"/>
              </w:rPr>
              <w:t>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layered coordination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Coordination inside coordination, such as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short and sweet but complex and thought-provoking</w:t>
            </w:r>
            <w:r>
              <w:rPr>
                <w:rFonts w:ascii="Calibri" w:hAnsi="Calibri" w:eastAsia="Calibri" w:cs="Calibri"/>
                <w:b w:val="0"/>
                <w:sz w:val="20"/>
              </w:rPr>
              <w:t>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functional similarity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Coordinates must be able to serve the same function when used alone.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functional identity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The stronger version used in the coordination-structure section: coordinated elements must share the same syntactic function.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expanded coordinate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A coordinate together with its coordinator. The chapter uses fronting to show that an expanded coordinate cannot be moved to the front.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fronting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Moving an element to the front. Used diagnostically in the coordination section.</w:t>
            </w:r>
          </w:p>
        </w:tc>
      </w:tr>
    </w:tbl>
    <w:p/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Comparison And Mandative Terms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color w:val="000000"/>
                <w:sz w:val="21"/>
              </w:rPr>
              <w:t>English term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color w:val="000000"/>
                <w:sz w:val="21"/>
              </w:rPr>
              <w:t>Localizer note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ellipsis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Recoverable material is omitted. Distinguish from a gap, which is a syntactic position.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gap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A structural position in a tree. The chapter contrasts gaps with ellipsis in a footnote.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pro-form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Used for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did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replacing a VP in comparative examples.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equality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Label for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as...as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comparison. Warn if the local term suggests exact equality: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Kim is as tall as Pat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means Kim is at least as tall as Pat and may be taller.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inequality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Label for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than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comparison.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mandative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English-specific subordinate construction with predicates of requirement or necessity, as in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It is essential that he be there</w:t>
            </w:r>
            <w:r>
              <w:rPr>
                <w:rFonts w:ascii="Calibri" w:hAnsi="Calibri" w:eastAsia="Calibri" w:cs="Calibri"/>
                <w:b w:val="0"/>
                <w:sz w:val="20"/>
              </w:rPr>
              <w:t>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mandative construction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Fuller term for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mandative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when a bare adjective/noun term is unclear in the target language.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subjunctive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In this chapter, the mandative plain-form variant. Do not let mood terminology imply counterfactual meaning.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present subjunctive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Useful in languages where plain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subjunctive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is too broad or misleading.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indicative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Variant using an ordinary tensed form.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should variant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Variant using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should be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. Leave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should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as the English form under discussion.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subject-auxiliary inversion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Diagnostic difference between main-clause interrogatives and subordinate interrogative content clauses.</w:t>
            </w:r>
          </w:p>
        </w:tc>
      </w:tr>
    </w:tbl>
    <w:p/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Example Labels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sz w:val="22"/>
        </w:rPr>
        <w:t>Translate labels in square brackets or example comments, but keep their technical role consistent.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Ind w:w="120" w:type="dxa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color w:val="000000"/>
                <w:sz w:val="21"/>
              </w:rPr>
              <w:t>English label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color w:val="000000"/>
                <w:sz w:val="21"/>
              </w:rPr>
              <w:t>Use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separate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Two independent statements.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subordinate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A clause is dependent inside a larger structure.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coordinate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Equal-status joining.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main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Main-clause status.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main/matrix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Clause is both main and matrix.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content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Content-clause type.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comparative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Comparative-clause type.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relative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Relative-clause type.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declarative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Declarative content-clause type.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basic interrogative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Basic interrogative content-clause type.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focused interrogative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Focused interrogative content-clause type.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in VP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Content clause functioning inside a VP.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in NP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Content clause functioning inside an NP.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in AdjP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Content clause functioning inside an AdjP.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in PP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Content clause functioning inside a PP.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subject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Subject function.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extraposed subject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Extraposed subject function.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obligatory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Marker is required.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optional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Marker may appear or be absent.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inadmissible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Marker is not allowed.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main inverted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Main-clause interrogative with inversion.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equality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9"/>
              </w:rPr>
              <w:t>as...as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comparison. Include warning if exact equality is implied.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inequality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9"/>
              </w:rPr>
              <w:t>than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comparison.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time adjuncts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Both coordinates are time adjuncts.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object vs adjunct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Bad coordination because functions differ.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complements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Coordinated complements.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modifiers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Coordinated modifiers.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mixed functions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Bad coordination because the coordinated elements do not share a function.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asyndetic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Coordination without overt coordinator.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syndetic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Coordination with overt coordinator.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conditional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Extra meaning associated with asymmetric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and</w:t>
            </w:r>
            <w:r>
              <w:rPr>
                <w:rFonts w:ascii="Calibri" w:hAnsi="Calibri" w:eastAsia="Calibri" w:cs="Calibri"/>
                <w:b w:val="0"/>
                <w:sz w:val="20"/>
              </w:rPr>
              <w:t>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negative conditional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Extra meaning associated with asymmetric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or</w:t>
            </w:r>
            <w:r>
              <w:rPr>
                <w:rFonts w:ascii="Calibri" w:hAnsi="Calibri" w:eastAsia="Calibri" w:cs="Calibri"/>
                <w:b w:val="0"/>
                <w:sz w:val="20"/>
              </w:rPr>
              <w:t>.</w:t>
            </w:r>
          </w:p>
        </w:tc>
      </w:tr>
    </w:tbl>
    <w:p/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English Object-Language Forms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sz w:val="22"/>
        </w:rPr>
        <w:t xml:space="preserve">These forms should generally remain in English inside </w:t>
      </w:r>
      <w:r>
        <w:rPr>
          <w:rFonts w:ascii="Consolas" w:hAnsi="Consolas" w:eastAsia="Consolas" w:cs="Consolas"/>
          <w:b w:val="0"/>
          <w:sz w:val="19"/>
        </w:rPr>
        <w:t>\mention{...}</w:t>
      </w:r>
      <w:r>
        <w:rPr>
          <w:rFonts w:ascii="Calibri" w:hAnsi="Calibri" w:eastAsia="Calibri" w:cs="Calibri"/>
          <w:b w:val="0"/>
          <w:sz w:val="22"/>
        </w:rPr>
        <w:t xml:space="preserve"> because the English form itself is being analyzed: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Ind w:w="120" w:type="dxa"/>
      </w:tblPr>
      <w:tblGrid>
        <w:gridCol w:w="2016"/>
        <w:gridCol w:w="7344"/>
      </w:tblGrid>
      <w:tr>
        <w:trPr>
          <w:tblHeader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color w:val="000000"/>
                <w:sz w:val="21"/>
              </w:rPr>
              <w:t>Form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color w:val="000000"/>
                <w:sz w:val="21"/>
              </w:rPr>
              <w:t>Note</w:t>
            </w:r>
          </w:p>
        </w:tc>
      </w:tr>
      <w:tr>
        <w:tc>
          <w:tcPr>
            <w:tcW w:type="dxa" w:w="2016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9"/>
              </w:rPr>
              <w:t>that</w:t>
            </w:r>
          </w:p>
        </w:tc>
        <w:tc>
          <w:tcPr>
            <w:tcW w:type="dxa" w:w="734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Declarative subordinator in content clauses.</w:t>
            </w:r>
          </w:p>
        </w:tc>
      </w:tr>
      <w:tr>
        <w:tc>
          <w:tcPr>
            <w:tcW w:type="dxa" w:w="2016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9"/>
              </w:rPr>
              <w:t>whether</w:t>
            </w:r>
          </w:p>
        </w:tc>
        <w:tc>
          <w:tcPr>
            <w:tcW w:type="dxa" w:w="734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Basic interrogative content-clause marker.</w:t>
            </w:r>
          </w:p>
        </w:tc>
      </w:tr>
      <w:tr>
        <w:tc>
          <w:tcPr>
            <w:tcW w:type="dxa" w:w="2016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9"/>
              </w:rPr>
              <w:t>if</w:t>
            </w:r>
          </w:p>
        </w:tc>
        <w:tc>
          <w:tcPr>
            <w:tcW w:type="dxa" w:w="734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Only the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whether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meaning is a subordinator here; distinguish from conditional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if</w:t>
            </w:r>
            <w:r>
              <w:rPr>
                <w:rFonts w:ascii="Calibri" w:hAnsi="Calibri" w:eastAsia="Calibri" w:cs="Calibri"/>
                <w:b w:val="0"/>
                <w:sz w:val="20"/>
              </w:rPr>
              <w:t>.</w:t>
            </w:r>
          </w:p>
        </w:tc>
      </w:tr>
      <w:tr>
        <w:tc>
          <w:tcPr>
            <w:tcW w:type="dxa" w:w="2016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9"/>
              </w:rPr>
              <w:t>and</w:t>
            </w:r>
          </w:p>
        </w:tc>
        <w:tc>
          <w:tcPr>
            <w:tcW w:type="dxa" w:w="734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Coordinator for addition and some asymmetric conditional readings.</w:t>
            </w:r>
          </w:p>
        </w:tc>
      </w:tr>
      <w:tr>
        <w:tc>
          <w:tcPr>
            <w:tcW w:type="dxa" w:w="2016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9"/>
              </w:rPr>
              <w:t>or</w:t>
            </w:r>
          </w:p>
        </w:tc>
        <w:tc>
          <w:tcPr>
            <w:tcW w:type="dxa" w:w="734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Coordinator for alternatives and some negative conditional readings.</w:t>
            </w:r>
          </w:p>
        </w:tc>
      </w:tr>
      <w:tr>
        <w:tc>
          <w:tcPr>
            <w:tcW w:type="dxa" w:w="2016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9"/>
              </w:rPr>
              <w:t>but</w:t>
            </w:r>
          </w:p>
        </w:tc>
        <w:tc>
          <w:tcPr>
            <w:tcW w:type="dxa" w:w="734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Coordinator for contrast. Also appears in sentence-initial-coordinator discussion.</w:t>
            </w:r>
          </w:p>
        </w:tc>
      </w:tr>
      <w:tr>
        <w:tc>
          <w:tcPr>
            <w:tcW w:type="dxa" w:w="2016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9"/>
              </w:rPr>
              <w:t>than</w:t>
            </w:r>
          </w:p>
        </w:tc>
        <w:tc>
          <w:tcPr>
            <w:tcW w:type="dxa" w:w="734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Preposition introducing comparative complements of inequality.</w:t>
            </w:r>
          </w:p>
        </w:tc>
      </w:tr>
      <w:tr>
        <w:tc>
          <w:tcPr>
            <w:tcW w:type="dxa" w:w="2016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9"/>
              </w:rPr>
              <w:t>as</w:t>
            </w:r>
          </w:p>
        </w:tc>
        <w:tc>
          <w:tcPr>
            <w:tcW w:type="dxa" w:w="734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Appears in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as...as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; first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as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is an adverbial degree modifier, second is a preposition.</w:t>
            </w:r>
          </w:p>
        </w:tc>
      </w:tr>
      <w:tr>
        <w:tc>
          <w:tcPr>
            <w:tcW w:type="dxa" w:w="2016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9"/>
              </w:rPr>
              <w:t>should</w:t>
            </w:r>
          </w:p>
        </w:tc>
        <w:tc>
          <w:tcPr>
            <w:tcW w:type="dxa" w:w="734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 xml:space="preserve">English form used in the mandative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should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variant.</w:t>
            </w:r>
          </w:p>
        </w:tc>
      </w:tr>
      <w:tr>
        <w:tc>
          <w:tcPr>
            <w:tcW w:type="dxa" w:w="2016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9"/>
              </w:rPr>
              <w:t>did</w:t>
            </w:r>
          </w:p>
        </w:tc>
        <w:tc>
          <w:tcPr>
            <w:tcW w:type="dxa" w:w="734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Pro-form in comparative ellipsis examples.</w:t>
            </w:r>
          </w:p>
        </w:tc>
      </w:tr>
      <w:tr>
        <w:tc>
          <w:tcPr>
            <w:tcW w:type="dxa" w:w="2016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9"/>
              </w:rPr>
              <w:t>both...and</w:t>
            </w:r>
          </w:p>
        </w:tc>
        <w:tc>
          <w:tcPr>
            <w:tcW w:type="dxa" w:w="734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Correlative coordination pattern.</w:t>
            </w:r>
          </w:p>
        </w:tc>
      </w:tr>
      <w:tr>
        <w:tc>
          <w:tcPr>
            <w:tcW w:type="dxa" w:w="2016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9"/>
              </w:rPr>
              <w:t>either...or</w:t>
            </w:r>
          </w:p>
        </w:tc>
        <w:tc>
          <w:tcPr>
            <w:tcW w:type="dxa" w:w="734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Correlative coordination pattern.</w:t>
            </w:r>
          </w:p>
        </w:tc>
      </w:tr>
      <w:tr>
        <w:tc>
          <w:tcPr>
            <w:tcW w:type="dxa" w:w="2016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9"/>
              </w:rPr>
              <w:t>neither...nor</w:t>
            </w:r>
          </w:p>
        </w:tc>
        <w:tc>
          <w:tcPr>
            <w:tcW w:type="dxa" w:w="7344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sz w:val="20"/>
              </w:rPr>
              <w:t>Correlative coordination pattern.</w:t>
            </w:r>
          </w:p>
        </w:tc>
      </w:tr>
    </w:tbl>
    <w:p/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High-Risk Misconstruals To Guard Against</w:t>
      </w:r>
    </w:p>
    <w:p>
      <w:pPr>
        <w:pStyle w:val="ListNumber"/>
        <w:spacing w:before="0" w:after="80" w:line="300" w:lineRule="auto"/>
      </w:pPr>
      <w:r>
        <w:rPr>
          <w:rFonts w:ascii="Consolas" w:hAnsi="Consolas" w:eastAsia="Consolas" w:cs="Consolas"/>
          <w:b w:val="0"/>
          <w:sz w:val="19"/>
        </w:rPr>
        <w:t>Main clause</w:t>
      </w:r>
      <w:r>
        <w:rPr>
          <w:rFonts w:ascii="Calibri" w:hAnsi="Calibri" w:eastAsia="Calibri" w:cs="Calibri"/>
          <w:b w:val="0"/>
          <w:sz w:val="22"/>
        </w:rPr>
        <w:t xml:space="preserve"> and </w:t>
      </w:r>
      <w:r>
        <w:rPr>
          <w:rFonts w:ascii="Consolas" w:hAnsi="Consolas" w:eastAsia="Consolas" w:cs="Consolas"/>
          <w:b w:val="0"/>
          <w:sz w:val="19"/>
        </w:rPr>
        <w:t>matrix clause</w:t>
      </w:r>
      <w:r>
        <w:rPr>
          <w:rFonts w:ascii="Calibri" w:hAnsi="Calibri" w:eastAsia="Calibri" w:cs="Calibri"/>
          <w:b w:val="0"/>
          <w:sz w:val="22"/>
        </w:rPr>
        <w:t xml:space="preserve"> are not synonyms. A clause can be both main and matrix, or subordinate and matrix, but not both main and subordinate.</w:t>
      </w:r>
    </w:p>
    <w:p>
      <w:pPr>
        <w:pStyle w:val="ListNumber"/>
        <w:spacing w:before="0" w:after="80" w:line="300" w:lineRule="auto"/>
      </w:pPr>
      <w:r>
        <w:rPr>
          <w:rFonts w:ascii="Consolas" w:hAnsi="Consolas" w:eastAsia="Consolas" w:cs="Consolas"/>
          <w:b w:val="0"/>
          <w:sz w:val="19"/>
        </w:rPr>
        <w:t>Content clause</w:t>
      </w:r>
      <w:r>
        <w:rPr>
          <w:rFonts w:ascii="Calibri" w:hAnsi="Calibri" w:eastAsia="Calibri" w:cs="Calibri"/>
          <w:b w:val="0"/>
          <w:sz w:val="22"/>
        </w:rPr>
        <w:t xml:space="preserve"> is a clause type, not a function. It can appear in several functions, including subject and complement positions.</w:t>
      </w:r>
    </w:p>
    <w:p>
      <w:pPr>
        <w:pStyle w:val="ListNumber"/>
        <w:spacing w:before="0" w:after="80" w:line="300" w:lineRule="auto"/>
      </w:pPr>
      <w:r>
        <w:rPr>
          <w:rFonts w:ascii="Consolas" w:hAnsi="Consolas" w:eastAsia="Consolas" w:cs="Consolas"/>
          <w:b w:val="0"/>
          <w:sz w:val="19"/>
        </w:rPr>
        <w:t>Subordinator</w:t>
      </w:r>
      <w:r>
        <w:rPr>
          <w:rFonts w:ascii="Calibri" w:hAnsi="Calibri" w:eastAsia="Calibri" w:cs="Calibri"/>
          <w:b w:val="0"/>
          <w:sz w:val="22"/>
        </w:rPr>
        <w:t xml:space="preserve"> and </w:t>
      </w:r>
      <w:r>
        <w:rPr>
          <w:rFonts w:ascii="Consolas" w:hAnsi="Consolas" w:eastAsia="Consolas" w:cs="Consolas"/>
          <w:b w:val="0"/>
          <w:sz w:val="19"/>
        </w:rPr>
        <w:t>coordinator</w:t>
      </w:r>
      <w:r>
        <w:rPr>
          <w:rFonts w:ascii="Calibri" w:hAnsi="Calibri" w:eastAsia="Calibri" w:cs="Calibri"/>
          <w:b w:val="0"/>
          <w:sz w:val="22"/>
        </w:rPr>
        <w:t xml:space="preserve"> are categories. </w:t>
      </w:r>
      <w:r>
        <w:rPr>
          <w:rFonts w:ascii="Consolas" w:hAnsi="Consolas" w:eastAsia="Consolas" w:cs="Consolas"/>
          <w:b w:val="0"/>
          <w:sz w:val="19"/>
        </w:rPr>
        <w:t>Marker</w:t>
      </w:r>
      <w:r>
        <w:rPr>
          <w:rFonts w:ascii="Calibri" w:hAnsi="Calibri" w:eastAsia="Calibri" w:cs="Calibri"/>
          <w:b w:val="0"/>
          <w:sz w:val="22"/>
        </w:rPr>
        <w:t xml:space="preserve"> is a function. Do not choose local terms that make this contrast impossible.</w:t>
      </w:r>
    </w:p>
    <w:p>
      <w:pPr>
        <w:pStyle w:val="ListNumber"/>
        <w:spacing w:before="0" w:after="80" w:line="300" w:lineRule="auto"/>
      </w:pPr>
      <w:r>
        <w:rPr>
          <w:rFonts w:ascii="Consolas" w:hAnsi="Consolas" w:eastAsia="Consolas" w:cs="Consolas"/>
          <w:b w:val="0"/>
          <w:sz w:val="19"/>
        </w:rPr>
        <w:t>Coordination</w:t>
      </w:r>
      <w:r>
        <w:rPr>
          <w:rFonts w:ascii="Calibri" w:hAnsi="Calibri" w:eastAsia="Calibri" w:cs="Calibri"/>
          <w:b w:val="0"/>
          <w:sz w:val="22"/>
        </w:rPr>
        <w:t xml:space="preserve"> is syntactic equal-status joining, not just a discourse connection or a list of related ideas.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 w:cs="Calibri"/>
          <w:b w:val="0"/>
          <w:sz w:val="22"/>
        </w:rPr>
        <w:t xml:space="preserve">A sentence-initial </w:t>
      </w:r>
      <w:r>
        <w:rPr>
          <w:rFonts w:ascii="Consolas" w:hAnsi="Consolas" w:eastAsia="Consolas" w:cs="Consolas"/>
          <w:b w:val="0"/>
          <w:sz w:val="19"/>
        </w:rPr>
        <w:t>and</w:t>
      </w:r>
      <w:r>
        <w:rPr>
          <w:rFonts w:ascii="Calibri" w:hAnsi="Calibri" w:eastAsia="Calibri" w:cs="Calibri"/>
          <w:b w:val="0"/>
          <w:sz w:val="22"/>
        </w:rPr>
        <w:t xml:space="preserve"> or </w:t>
      </w:r>
      <w:r>
        <w:rPr>
          <w:rFonts w:ascii="Consolas" w:hAnsi="Consolas" w:eastAsia="Consolas" w:cs="Consolas"/>
          <w:b w:val="0"/>
          <w:sz w:val="19"/>
        </w:rPr>
        <w:t>but</w:t>
      </w:r>
      <w:r>
        <w:rPr>
          <w:rFonts w:ascii="Calibri" w:hAnsi="Calibri" w:eastAsia="Calibri" w:cs="Calibri"/>
          <w:b w:val="0"/>
          <w:sz w:val="22"/>
        </w:rPr>
        <w:t xml:space="preserve"> can be good English, but it is not tight syntactic coordination with the previous sentence. It can act as a discourse connector.</w:t>
      </w:r>
    </w:p>
    <w:p>
      <w:pPr>
        <w:pStyle w:val="ListNumber"/>
        <w:spacing w:before="0" w:after="80" w:line="300" w:lineRule="auto"/>
      </w:pPr>
      <w:r>
        <w:rPr>
          <w:rFonts w:ascii="Consolas" w:hAnsi="Consolas" w:eastAsia="Consolas" w:cs="Consolas"/>
          <w:b w:val="0"/>
          <w:sz w:val="19"/>
        </w:rPr>
        <w:t>As...as</w:t>
      </w:r>
      <w:r>
        <w:rPr>
          <w:rFonts w:ascii="Calibri" w:hAnsi="Calibri" w:eastAsia="Calibri" w:cs="Calibri"/>
          <w:b w:val="0"/>
          <w:sz w:val="22"/>
        </w:rPr>
        <w:t xml:space="preserve"> equality is not necessarily exact equality. It means at least as much in the relevant dimension.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 w:cs="Calibri"/>
          <w:b w:val="0"/>
          <w:sz w:val="22"/>
        </w:rPr>
        <w:t xml:space="preserve">The mandative </w:t>
      </w:r>
      <w:r>
        <w:rPr>
          <w:rFonts w:ascii="Consolas" w:hAnsi="Consolas" w:eastAsia="Consolas" w:cs="Consolas"/>
          <w:b w:val="0"/>
          <w:sz w:val="19"/>
        </w:rPr>
        <w:t>subjunctive</w:t>
      </w:r>
      <w:r>
        <w:rPr>
          <w:rFonts w:ascii="Calibri" w:hAnsi="Calibri" w:eastAsia="Calibri" w:cs="Calibri"/>
          <w:b w:val="0"/>
          <w:sz w:val="22"/>
        </w:rPr>
        <w:t xml:space="preserve"> in </w:t>
      </w:r>
      <w:r>
        <w:rPr>
          <w:rFonts w:ascii="Consolas" w:hAnsi="Consolas" w:eastAsia="Consolas" w:cs="Consolas"/>
          <w:b w:val="0"/>
          <w:sz w:val="19"/>
        </w:rPr>
        <w:t>that he be there</w:t>
      </w:r>
      <w:r>
        <w:rPr>
          <w:rFonts w:ascii="Calibri" w:hAnsi="Calibri" w:eastAsia="Calibri" w:cs="Calibri"/>
          <w:b w:val="0"/>
          <w:sz w:val="22"/>
        </w:rPr>
        <w:t xml:space="preserve"> is about English plain verb form in a requirement context, not about unreality or counterfactuality.</w:t>
      </w:r>
    </w:p>
    <w:p>
      <w:pPr>
        <w:pStyle w:val="ListNumber"/>
        <w:spacing w:before="0" w:after="80" w:line="300" w:lineRule="auto"/>
      </w:pPr>
      <w:r>
        <w:rPr>
          <w:rFonts w:ascii="Consolas" w:hAnsi="Consolas" w:eastAsia="Consolas" w:cs="Consolas"/>
          <w:b w:val="0"/>
          <w:sz w:val="19"/>
        </w:rPr>
        <w:t>Ellipsis</w:t>
      </w:r>
      <w:r>
        <w:rPr>
          <w:rFonts w:ascii="Calibri" w:hAnsi="Calibri" w:eastAsia="Calibri" w:cs="Calibri"/>
          <w:b w:val="0"/>
          <w:sz w:val="22"/>
        </w:rPr>
        <w:t xml:space="preserve"> and </w:t>
      </w:r>
      <w:r>
        <w:rPr>
          <w:rFonts w:ascii="Consolas" w:hAnsi="Consolas" w:eastAsia="Consolas" w:cs="Consolas"/>
          <w:b w:val="0"/>
          <w:sz w:val="19"/>
        </w:rPr>
        <w:t>gap</w:t>
      </w:r>
      <w:r>
        <w:rPr>
          <w:rFonts w:ascii="Calibri" w:hAnsi="Calibri" w:eastAsia="Calibri" w:cs="Calibri"/>
          <w:b w:val="0"/>
          <w:sz w:val="22"/>
        </w:rPr>
        <w:t xml:space="preserve"> are both about something absent, but they are not the same analysis. Ellipsis is recoverable material; a gap is a syntactic position.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Calibri" w:cs="Calibri"/>
        <w:color w:val="55555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Calibri" w:cs="Calibri"/>
        <w:color w:val="555555"/>
        <w:sz w:val="18"/>
      </w:rPr>
      <w:t>Language Landscapes - Chapter 18 localizer terms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