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Interjections project stance, sequence position, and uptake.</w:t>
      </w:r>
    </w:p>
    <w:p>
      <w:pPr>
        <w:pStyle w:val="Compact"/>
        <w:numPr>
          <w:ilvl w:val="0"/>
          <w:numId w:val="1001"/>
        </w:numPr>
      </w:pPr>
      <w:r>
        <w:t xml:space="preserve">Category membership predicts prosody and syntactic supplementarity.</w:t>
      </w:r>
    </w:p>
    <w:p>
      <w:pPr>
        <w:pStyle w:val="Compact"/>
        <w:numPr>
          <w:ilvl w:val="0"/>
          <w:numId w:val="1001"/>
        </w:numPr>
      </w:pPr>
      <w:r>
        <w:t xml:space="preserve">Diachronic pathways explain stable but fuzzy category structure.</w:t>
      </w:r>
    </w:p>
    <w:p>
      <w:pPr>
        <w:pStyle w:val="Compact"/>
        <w:numPr>
          <w:ilvl w:val="0"/>
          <w:numId w:val="1001"/>
        </w:numPr>
      </w:pPr>
      <w:r>
        <w:t xml:space="preserve">Corpus probes reveal structured boundaries and exit residues.</w:t>
      </w:r>
    </w:p>
    <w:p>
      <w:pPr>
        <w:pStyle w:val="Compact"/>
        <w:numPr>
          <w:ilvl w:val="0"/>
          <w:numId w:val="1001"/>
        </w:numPr>
      </w:pPr>
      <w:r>
        <w:t xml:space="preserve">Stability does not require strict homeostatic control.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2026-06-03T20:41:01Z</dcterms:created>
  <dcterms:modified xsi:type="dcterms:W3CDTF">2026-06-03T20:41:01Z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