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00</w:t>
            </w:r>
            <w:r>
              <w:rPr>
                <w:color w:val="0000FF"/>
                <w:sz w:val="24"/>
                <w:szCs w:val="24"/>
              </w:rPr>
              <w:t>3</w:t>
            </w:r>
            <w:r>
              <w:rPr>
                <w:color w:val="0000FF"/>
                <w:sz w:val="24"/>
                <w:szCs w:val="24"/>
              </w:rPr>
              <w:t xml:space="preserve"> Normal Flow Test Case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is a valid, unrestricted borrower wishes to borrow 1 or more books, with an upper limit of no more than 5 books on loan at any one time is going to borrow 5 books.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exists, who has a valid membership card, has already got books on loan.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The borrowing completes and the borrower now has 5 books on loan.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hits borrow book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active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swipes in member card 7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Card reader becomes disabled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barcode scanner becomes enabled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Member details are displayed in display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scans books 10,11,12,13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Books get added to the pending loan list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Display changes to confirming loans displaying the pending loan details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hits confirm</w:t>
            </w:r>
          </w:p>
        </w:tc>
        <w:tc>
          <w:tcPr>
            <w:tcW w:w="559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5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The display returns to the borrowing screen</w:t>
            </w:r>
          </w:p>
          <w:p>
            <w:pPr>
              <w:pStyle w:val="Bp"/>
              <w:numPr>
                <w:ilvl w:val="0"/>
                <w:numId w:val="5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The printer prints out a receipt.</w:t>
            </w:r>
          </w:p>
        </w:tc>
        <w:tc>
          <w:tcPr>
            <w:tcW w:w="71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28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79.1pt;margin-top:0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00</w:t>
          </w:r>
          <w:r>
            <w:rPr/>
            <w:t>3</w:t>
          </w:r>
          <w:r>
            <w:rPr/>
            <w:t xml:space="preserve"> Normal Flow Test Case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14</TotalTime>
  <Application>LibreOffice/5.0.1.2$Windows_X86_64 LibreOffice_project/81898c9f5c0d43f3473ba111d7b351050be20261</Application>
  <Paragraphs>43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2015-10-01T21:09:42Z</dcterms:modified>
  <cp:revision>4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