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53D90" w14:textId="13C0890D" w:rsidR="00801936" w:rsidRPr="00801936" w:rsidRDefault="00801936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801936">
        <w:rPr>
          <w:rFonts w:ascii="Times New Roman" w:hAnsi="Times New Roman" w:cs="Times New Roman"/>
        </w:rPr>
        <w:tab/>
      </w:r>
      <w:r w:rsidRPr="00801936">
        <w:rPr>
          <w:rFonts w:ascii="Times New Roman" w:hAnsi="Times New Roman" w:cs="Times New Roman"/>
        </w:rPr>
        <w:tab/>
      </w:r>
      <w:r w:rsidRPr="00801936">
        <w:rPr>
          <w:rFonts w:ascii="Times New Roman" w:hAnsi="Times New Roman" w:cs="Times New Roman"/>
        </w:rPr>
        <w:tab/>
      </w:r>
      <w:r w:rsidRPr="00801936">
        <w:rPr>
          <w:rFonts w:ascii="Times New Roman" w:hAnsi="Times New Roman" w:cs="Times New Roman"/>
          <w:b/>
          <w:bCs/>
          <w:sz w:val="40"/>
          <w:szCs w:val="40"/>
          <w:u w:val="single"/>
        </w:rPr>
        <w:t>Teck Check Number 3 – Functions</w:t>
      </w:r>
    </w:p>
    <w:p w14:paraId="035E2C0C" w14:textId="5C566308" w:rsidR="00801936" w:rsidRPr="00801936" w:rsidRDefault="00801936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7922034B" w14:textId="28E548D6" w:rsidR="00801936" w:rsidRPr="00801936" w:rsidRDefault="00801936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69C6F198" w14:textId="77777777" w:rsidR="0037376A" w:rsidRDefault="00801936" w:rsidP="008019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you enter global variables </w:t>
      </w:r>
      <w:proofErr w:type="spellStart"/>
      <w:r>
        <w:rPr>
          <w:rFonts w:ascii="Times New Roman" w:hAnsi="Times New Roman" w:cs="Times New Roman"/>
          <w:sz w:val="24"/>
          <w:szCs w:val="24"/>
        </w:rPr>
        <w:t>weeklySalary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numOfDependents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F28057E" w14:textId="680F275B" w:rsidR="00801936" w:rsidRDefault="00801936" w:rsidP="008019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that they are brought into the defined area to be used in local calculating. Inside the local calculation the</w:t>
      </w:r>
      <w:r w:rsidRPr="008019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936">
        <w:rPr>
          <w:rFonts w:ascii="Times New Roman" w:hAnsi="Times New Roman" w:cs="Times New Roman"/>
          <w:sz w:val="24"/>
          <w:szCs w:val="24"/>
        </w:rPr>
        <w:t>provTaxAmount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01936">
        <w:rPr>
          <w:rFonts w:ascii="Times New Roman" w:hAnsi="Times New Roman" w:cs="Times New Roman"/>
          <w:sz w:val="24"/>
          <w:szCs w:val="24"/>
        </w:rPr>
        <w:t>fedTaxAmount</w:t>
      </w:r>
      <w:proofErr w:type="spellEnd"/>
      <w:r w:rsidR="0037376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936">
        <w:rPr>
          <w:rFonts w:ascii="Times New Roman" w:hAnsi="Times New Roman" w:cs="Times New Roman"/>
          <w:sz w:val="24"/>
          <w:szCs w:val="24"/>
        </w:rPr>
        <w:t>depnDeduction</w:t>
      </w:r>
      <w:proofErr w:type="spellEnd"/>
      <w:r w:rsidR="0037376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7376A">
        <w:rPr>
          <w:rFonts w:ascii="Times New Roman" w:hAnsi="Times New Roman" w:cs="Times New Roman"/>
          <w:sz w:val="24"/>
          <w:szCs w:val="24"/>
        </w:rPr>
        <w:t>totalWithheld</w:t>
      </w:r>
      <w:proofErr w:type="spellEnd"/>
      <w:r w:rsidR="0037376A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37376A">
        <w:rPr>
          <w:rFonts w:ascii="Times New Roman" w:hAnsi="Times New Roman" w:cs="Times New Roman"/>
          <w:sz w:val="24"/>
          <w:szCs w:val="24"/>
        </w:rPr>
        <w:t>netSalary</w:t>
      </w:r>
      <w:proofErr w:type="spellEnd"/>
      <w:r w:rsidR="0037376A">
        <w:rPr>
          <w:rFonts w:ascii="Times New Roman" w:hAnsi="Times New Roman" w:cs="Times New Roman"/>
          <w:sz w:val="24"/>
          <w:szCs w:val="24"/>
        </w:rPr>
        <w:t xml:space="preserve"> and calculated.</w:t>
      </w:r>
    </w:p>
    <w:p w14:paraId="2865B982" w14:textId="6217DE6C" w:rsidR="0037376A" w:rsidRDefault="0037376A" w:rsidP="008019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Within the same function the print statements are done (</w:t>
      </w:r>
      <w:proofErr w:type="spellStart"/>
      <w:r>
        <w:rPr>
          <w:rFonts w:ascii="Times New Roman" w:hAnsi="Times New Roman" w:cs="Times New Roman"/>
          <w:sz w:val="24"/>
          <w:szCs w:val="24"/>
        </w:rPr>
        <w:t>totalWithheld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netSalar</w:t>
      </w:r>
      <w:r w:rsidR="00702234">
        <w:rPr>
          <w:rFonts w:ascii="Times New Roman" w:hAnsi="Times New Roman" w:cs="Times New Roman"/>
          <w:sz w:val="24"/>
          <w:szCs w:val="24"/>
        </w:rPr>
        <w:t>y</w:t>
      </w:r>
      <w:proofErr w:type="spellEnd"/>
      <w:r w:rsidR="007022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02234">
        <w:rPr>
          <w:rFonts w:ascii="Times New Roman" w:hAnsi="Times New Roman" w:cs="Times New Roman"/>
          <w:sz w:val="24"/>
          <w:szCs w:val="24"/>
        </w:rPr>
        <w:t>fedTaxAmount</w:t>
      </w:r>
      <w:proofErr w:type="spellEnd"/>
      <w:r w:rsidR="007022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02234">
        <w:rPr>
          <w:rFonts w:ascii="Times New Roman" w:hAnsi="Times New Roman" w:cs="Times New Roman"/>
          <w:sz w:val="24"/>
          <w:szCs w:val="24"/>
        </w:rPr>
        <w:t>provtaxAmount</w:t>
      </w:r>
      <w:proofErr w:type="spellEnd"/>
      <w:r w:rsidR="00702234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702234">
        <w:rPr>
          <w:rFonts w:ascii="Times New Roman" w:hAnsi="Times New Roman" w:cs="Times New Roman"/>
          <w:sz w:val="24"/>
          <w:szCs w:val="24"/>
        </w:rPr>
        <w:t>depnDeduction</w:t>
      </w:r>
      <w:proofErr w:type="spellEnd"/>
      <w:r w:rsidR="00702234">
        <w:rPr>
          <w:rFonts w:ascii="Times New Roman" w:hAnsi="Times New Roman" w:cs="Times New Roman"/>
          <w:sz w:val="24"/>
          <w:szCs w:val="24"/>
        </w:rPr>
        <w:t>)</w:t>
      </w:r>
    </w:p>
    <w:p w14:paraId="1E8AE7E7" w14:textId="3F862ECE" w:rsidR="00702234" w:rsidRDefault="00702234" w:rsidP="008019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global </w:t>
      </w:r>
      <w:r w:rsidR="007859F4">
        <w:rPr>
          <w:rFonts w:ascii="Times New Roman" w:hAnsi="Times New Roman" w:cs="Times New Roman"/>
          <w:sz w:val="24"/>
          <w:szCs w:val="24"/>
        </w:rPr>
        <w:t>variable</w:t>
      </w:r>
      <w:r>
        <w:rPr>
          <w:rFonts w:ascii="Times New Roman" w:hAnsi="Times New Roman" w:cs="Times New Roman"/>
          <w:sz w:val="24"/>
          <w:szCs w:val="24"/>
        </w:rPr>
        <w:t xml:space="preserve"> is one that sits outside any defined statement and can be used inside a defined statement. </w:t>
      </w:r>
    </w:p>
    <w:p w14:paraId="63494B5F" w14:textId="372FD5AB" w:rsidR="00702234" w:rsidRPr="00801936" w:rsidRDefault="00702234" w:rsidP="008019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Were a </w:t>
      </w:r>
      <w:r w:rsidR="007859F4">
        <w:rPr>
          <w:rFonts w:ascii="Times New Roman" w:hAnsi="Times New Roman" w:cs="Times New Roman"/>
          <w:sz w:val="24"/>
          <w:szCs w:val="24"/>
        </w:rPr>
        <w:t xml:space="preserve">defined statement can not share with other statements </w:t>
      </w:r>
    </w:p>
    <w:p w14:paraId="4C362A91" w14:textId="417464A4" w:rsidR="00801936" w:rsidRPr="00801936" w:rsidRDefault="007859F4">
      <w:pPr>
        <w:rPr>
          <w:sz w:val="24"/>
          <w:szCs w:val="24"/>
        </w:rPr>
      </w:pPr>
      <w:r w:rsidRPr="007859F4">
        <w:rPr>
          <w:sz w:val="24"/>
          <w:szCs w:val="24"/>
        </w:rPr>
        <w:lastRenderedPageBreak/>
        <w:drawing>
          <wp:inline distT="0" distB="0" distL="0" distR="0" wp14:anchorId="2945BD4C" wp14:editId="6170BE93">
            <wp:extent cx="5943600" cy="6299835"/>
            <wp:effectExtent l="0" t="0" r="0" b="571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9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1936" w:rsidRPr="008019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936"/>
    <w:rsid w:val="0037376A"/>
    <w:rsid w:val="00702234"/>
    <w:rsid w:val="007859F4"/>
    <w:rsid w:val="00801936"/>
    <w:rsid w:val="00E00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A9CA4"/>
  <w15:chartTrackingRefBased/>
  <w15:docId w15:val="{35105189-7BFA-4022-A31D-062CA4D4E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 Horne</dc:creator>
  <cp:keywords/>
  <dc:description/>
  <cp:lastModifiedBy>Bradley Horne</cp:lastModifiedBy>
  <cp:revision>1</cp:revision>
  <dcterms:created xsi:type="dcterms:W3CDTF">2021-11-04T14:25:00Z</dcterms:created>
  <dcterms:modified xsi:type="dcterms:W3CDTF">2021-11-04T14:46:00Z</dcterms:modified>
</cp:coreProperties>
</file>