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E9D8A" w14:textId="1B05242A" w:rsidR="008C1DEC" w:rsidRDefault="008C1DEC" w:rsidP="00D10293">
      <w:pPr>
        <w:spacing w:line="360" w:lineRule="auto"/>
        <w:ind w:left="0" w:firstLine="0"/>
      </w:pPr>
      <w:r w:rsidRPr="00325B95">
        <w:rPr>
          <w:b/>
          <w:bCs/>
        </w:rPr>
        <w:t>To</w:t>
      </w:r>
      <w:r>
        <w:t xml:space="preserve">: Managing Director, Shawn Janzen  </w:t>
      </w:r>
    </w:p>
    <w:p w14:paraId="595E6F07" w14:textId="59F88553" w:rsidR="008C1DEC" w:rsidRDefault="00325B95" w:rsidP="00D10293">
      <w:pPr>
        <w:spacing w:line="360" w:lineRule="auto"/>
        <w:ind w:left="-24" w:firstLine="0"/>
      </w:pPr>
      <w:r w:rsidRPr="00325B95">
        <w:rPr>
          <w:b/>
          <w:bCs/>
        </w:rPr>
        <w:t>From</w:t>
      </w:r>
      <w:r>
        <w:t>: Tazvitya</w:t>
      </w:r>
      <w:r w:rsidR="008C1DEC">
        <w:t xml:space="preserve"> Aubrey Chihota</w:t>
      </w:r>
      <w:r w:rsidR="00C6388E">
        <w:t xml:space="preserve"> Analytics</w:t>
      </w:r>
    </w:p>
    <w:p w14:paraId="16D64CB7" w14:textId="30E0A3BD" w:rsidR="008C1DEC" w:rsidRDefault="008C1DEC" w:rsidP="00D10293">
      <w:pPr>
        <w:spacing w:line="360" w:lineRule="auto"/>
        <w:ind w:left="-24" w:firstLine="0"/>
      </w:pPr>
      <w:r w:rsidRPr="00325B95">
        <w:rPr>
          <w:b/>
          <w:bCs/>
        </w:rPr>
        <w:t>Date:</w:t>
      </w:r>
      <w:r>
        <w:t xml:space="preserve"> October </w:t>
      </w:r>
      <w:r w:rsidR="00C6388E">
        <w:t>14</w:t>
      </w:r>
      <w:r>
        <w:t xml:space="preserve">, 2024  </w:t>
      </w:r>
    </w:p>
    <w:p w14:paraId="3649D4E9" w14:textId="25DA4E71" w:rsidR="008C1DEC" w:rsidRDefault="00325B95" w:rsidP="00D10293">
      <w:pPr>
        <w:spacing w:line="360" w:lineRule="auto"/>
        <w:ind w:left="-24" w:firstLine="0"/>
      </w:pPr>
      <w:r w:rsidRPr="00325B95">
        <w:rPr>
          <w:b/>
          <w:bCs/>
        </w:rPr>
        <w:t>Subject</w:t>
      </w:r>
      <w:r>
        <w:t>: Analysis</w:t>
      </w:r>
      <w:r w:rsidR="008C1DEC">
        <w:t xml:space="preserve"> of FIFA Player Ratings: Impact of Age, Potential, Value, and Preferred Foot on Overall Ratings (201</w:t>
      </w:r>
      <w:r w:rsidR="003F7775">
        <w:t>4</w:t>
      </w:r>
      <w:r w:rsidR="008C1DEC">
        <w:t xml:space="preserve">)  </w:t>
      </w:r>
    </w:p>
    <w:p w14:paraId="5BDFBED4" w14:textId="27FA31CE" w:rsidR="008C1DEC" w:rsidRDefault="008C1DEC" w:rsidP="00D10293">
      <w:pPr>
        <w:spacing w:line="360" w:lineRule="auto"/>
        <w:ind w:left="-24" w:firstLine="0"/>
      </w:pPr>
      <w:r w:rsidRPr="00D10293">
        <w:rPr>
          <w:b/>
          <w:bCs/>
        </w:rPr>
        <w:t>Level of Alpha</w:t>
      </w:r>
      <w:r>
        <w:t xml:space="preserve"> = 0.01  </w:t>
      </w:r>
    </w:p>
    <w:p w14:paraId="2D7E7A98" w14:textId="1B0B0AED" w:rsidR="008C1DEC" w:rsidRDefault="008C1DEC" w:rsidP="00D10293">
      <w:pPr>
        <w:spacing w:line="360" w:lineRule="auto"/>
        <w:ind w:left="-24" w:firstLine="0"/>
      </w:pPr>
      <w:r w:rsidRPr="00325B95">
        <w:rPr>
          <w:b/>
          <w:bCs/>
        </w:rPr>
        <w:t>Introduction:</w:t>
      </w:r>
      <w:r>
        <w:t xml:space="preserve"> This analysis seeks to assess the relationship between the age, potential, value, and preferred foot of FIFA players </w:t>
      </w:r>
      <w:r w:rsidR="00877684">
        <w:t xml:space="preserve">on their </w:t>
      </w:r>
      <w:r>
        <w:t>overall ratings for the year 20</w:t>
      </w:r>
      <w:r w:rsidR="003F7775">
        <w:t>14</w:t>
      </w:r>
      <w:r>
        <w:t xml:space="preserve">. The objective is to understand how these factors influence </w:t>
      </w:r>
      <w:r w:rsidR="00A8418A">
        <w:t>players’</w:t>
      </w:r>
      <w:r w:rsidR="00877684">
        <w:t xml:space="preserve"> overall rating</w:t>
      </w:r>
      <w:r>
        <w:t>.</w:t>
      </w:r>
    </w:p>
    <w:p w14:paraId="6831EAAA" w14:textId="598266A3" w:rsidR="008C1DEC" w:rsidRDefault="008C1DEC" w:rsidP="00D10293">
      <w:pPr>
        <w:spacing w:line="360" w:lineRule="auto"/>
        <w:ind w:left="-24" w:firstLine="0"/>
      </w:pPr>
      <w:r w:rsidRPr="00D83C0B">
        <w:rPr>
          <w:b/>
          <w:bCs/>
        </w:rPr>
        <w:t xml:space="preserve">Hypothesis </w:t>
      </w:r>
      <w:r w:rsidR="00A8418A" w:rsidRPr="00D83C0B">
        <w:rPr>
          <w:b/>
          <w:bCs/>
        </w:rPr>
        <w:t>Test</w:t>
      </w:r>
      <w:r w:rsidR="00A8418A">
        <w:t xml:space="preserve">: </w:t>
      </w:r>
      <w:r w:rsidR="00C6388E">
        <w:t>To discover if there is a r</w:t>
      </w:r>
      <w:r w:rsidR="00A8418A">
        <w:t>elationship</w:t>
      </w:r>
      <w:r>
        <w:t xml:space="preserve"> Between Player Attributes and Overall Ratings</w:t>
      </w:r>
    </w:p>
    <w:p w14:paraId="5E04669B" w14:textId="3DF35167" w:rsidR="008C1DEC" w:rsidRDefault="008C1DEC" w:rsidP="00D10293">
      <w:pPr>
        <w:spacing w:line="360" w:lineRule="auto"/>
        <w:ind w:left="-24" w:firstLine="0"/>
      </w:pPr>
      <w:r w:rsidRPr="00325B95">
        <w:rPr>
          <w:b/>
          <w:bCs/>
        </w:rPr>
        <w:t xml:space="preserve">Target </w:t>
      </w:r>
      <w:r w:rsidR="00325B95" w:rsidRPr="00325B95">
        <w:rPr>
          <w:b/>
          <w:bCs/>
        </w:rPr>
        <w:t>Population</w:t>
      </w:r>
      <w:r w:rsidR="00325B95">
        <w:t>: All</w:t>
      </w:r>
      <w:r>
        <w:t xml:space="preserve"> FIFA players who joined in 2014 and whose data is available for analysis.</w:t>
      </w:r>
    </w:p>
    <w:p w14:paraId="7D049C2E" w14:textId="01D13185" w:rsidR="008C1DEC" w:rsidRDefault="00926B22" w:rsidP="00D10293">
      <w:pPr>
        <w:spacing w:line="360" w:lineRule="auto"/>
        <w:ind w:left="-24" w:firstLine="0"/>
      </w:pPr>
      <w:r w:rsidRPr="00926B22">
        <w:rPr>
          <w:b/>
          <w:bCs/>
        </w:rPr>
        <w:t>Spoiler findings</w:t>
      </w:r>
      <w:r>
        <w:t>: The</w:t>
      </w:r>
      <w:r w:rsidR="008C1DEC">
        <w:t xml:space="preserve"> analysis reveals a strong, significant relationship between players' age, potential, value (in millions), and preferred foot on their overall ratings. As these independent variables increase, the overall rating is positively impacted. The regression model explains over </w:t>
      </w:r>
      <w:r w:rsidR="003F7775">
        <w:t>94</w:t>
      </w:r>
      <w:r w:rsidR="008C1DEC">
        <w:t>% of the variability in player ratings, confirming that these variables are strong predictors of overall performance.</w:t>
      </w:r>
    </w:p>
    <w:tbl>
      <w:tblPr>
        <w:tblStyle w:val="TableGrid0"/>
        <w:tblpPr w:leftFromText="180" w:rightFromText="180" w:vertAnchor="text" w:horzAnchor="margin" w:tblpY="38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0"/>
        <w:gridCol w:w="975"/>
      </w:tblGrid>
      <w:tr w:rsidR="00B61AD0" w:rsidRPr="00B61AD0" w14:paraId="08A5BE2D" w14:textId="77777777" w:rsidTr="00B61AD0">
        <w:tc>
          <w:tcPr>
            <w:tcW w:w="3685" w:type="dxa"/>
            <w:gridSpan w:val="3"/>
            <w:tcBorders>
              <w:bottom w:val="double" w:sz="4" w:space="0" w:color="auto"/>
            </w:tcBorders>
          </w:tcPr>
          <w:p w14:paraId="037A5F46" w14:textId="5E00A948" w:rsidR="00B61AD0" w:rsidRPr="00B61AD0" w:rsidRDefault="00B61AD0" w:rsidP="00D10293">
            <w:pPr>
              <w:spacing w:line="360" w:lineRule="auto"/>
              <w:ind w:left="-24" w:firstLine="0"/>
              <w:rPr>
                <w:b/>
                <w:lang w:val="en"/>
              </w:rPr>
            </w:pPr>
            <w:r w:rsidRPr="00B61AD0">
              <w:rPr>
                <w:b/>
                <w:lang w:val="en"/>
              </w:rPr>
              <w:t xml:space="preserve">Table 1: </w:t>
            </w:r>
            <w:r>
              <w:rPr>
                <w:b/>
                <w:lang w:val="en"/>
              </w:rPr>
              <w:t xml:space="preserve">Preferred Foot </w:t>
            </w:r>
            <w:r w:rsidRPr="00B61AD0">
              <w:rPr>
                <w:b/>
                <w:lang w:val="en"/>
              </w:rPr>
              <w:t>Summary</w:t>
            </w:r>
          </w:p>
        </w:tc>
      </w:tr>
      <w:tr w:rsidR="00B61AD0" w:rsidRPr="00B61AD0" w14:paraId="1811C8A9" w14:textId="77777777" w:rsidTr="00B61AD0">
        <w:tc>
          <w:tcPr>
            <w:tcW w:w="1980" w:type="dxa"/>
            <w:tcBorders>
              <w:top w:val="double" w:sz="4" w:space="0" w:color="auto"/>
            </w:tcBorders>
          </w:tcPr>
          <w:p w14:paraId="597D6B3C" w14:textId="77777777" w:rsidR="00B61AD0" w:rsidRPr="00B61AD0" w:rsidRDefault="00B61AD0" w:rsidP="00D10293">
            <w:pPr>
              <w:spacing w:line="360" w:lineRule="auto"/>
              <w:ind w:left="-24" w:firstLine="0"/>
              <w:rPr>
                <w:lang w:val="en"/>
              </w:rPr>
            </w:pPr>
          </w:p>
        </w:tc>
        <w:tc>
          <w:tcPr>
            <w:tcW w:w="730" w:type="dxa"/>
            <w:tcBorders>
              <w:top w:val="double" w:sz="4" w:space="0" w:color="auto"/>
            </w:tcBorders>
          </w:tcPr>
          <w:p w14:paraId="3B87C10D" w14:textId="77777777" w:rsidR="00B61AD0" w:rsidRPr="00B61AD0" w:rsidRDefault="00B61AD0" w:rsidP="00D10293">
            <w:pPr>
              <w:spacing w:line="360" w:lineRule="auto"/>
              <w:ind w:left="-24" w:firstLine="0"/>
              <w:rPr>
                <w:lang w:val="en"/>
              </w:rPr>
            </w:pPr>
            <w:r w:rsidRPr="00B61AD0">
              <w:rPr>
                <w:lang w:val="en"/>
              </w:rPr>
              <w:t>Freq.</w:t>
            </w:r>
          </w:p>
        </w:tc>
        <w:tc>
          <w:tcPr>
            <w:tcW w:w="975" w:type="dxa"/>
            <w:tcBorders>
              <w:top w:val="double" w:sz="4" w:space="0" w:color="auto"/>
            </w:tcBorders>
          </w:tcPr>
          <w:p w14:paraId="6205EAE9" w14:textId="77777777" w:rsidR="00B61AD0" w:rsidRPr="00B61AD0" w:rsidRDefault="00B61AD0" w:rsidP="00D10293">
            <w:pPr>
              <w:spacing w:line="360" w:lineRule="auto"/>
              <w:ind w:left="-24" w:firstLine="0"/>
              <w:rPr>
                <w:lang w:val="en"/>
              </w:rPr>
            </w:pPr>
            <w:r w:rsidRPr="00B61AD0">
              <w:rPr>
                <w:lang w:val="en"/>
              </w:rPr>
              <w:t>Percent</w:t>
            </w:r>
          </w:p>
        </w:tc>
      </w:tr>
      <w:tr w:rsidR="00B61AD0" w:rsidRPr="00B61AD0" w14:paraId="5B716360" w14:textId="77777777" w:rsidTr="00B61AD0">
        <w:tc>
          <w:tcPr>
            <w:tcW w:w="1980" w:type="dxa"/>
          </w:tcPr>
          <w:p w14:paraId="7D4BB0F7" w14:textId="00DD57B6" w:rsidR="00B61AD0" w:rsidRPr="00B61AD0" w:rsidRDefault="00B61AD0" w:rsidP="00D10293">
            <w:pPr>
              <w:spacing w:line="360" w:lineRule="auto"/>
              <w:ind w:left="-24" w:firstLine="0"/>
              <w:rPr>
                <w:lang w:val="en"/>
              </w:rPr>
            </w:pPr>
            <w:r>
              <w:rPr>
                <w:lang w:val="en"/>
              </w:rPr>
              <w:t>Right</w:t>
            </w:r>
          </w:p>
        </w:tc>
        <w:tc>
          <w:tcPr>
            <w:tcW w:w="730" w:type="dxa"/>
          </w:tcPr>
          <w:p w14:paraId="5BD0EF10" w14:textId="7F2009F8" w:rsidR="00B61AD0" w:rsidRPr="00B61AD0" w:rsidRDefault="00B61AD0" w:rsidP="00D10293">
            <w:pPr>
              <w:spacing w:line="360" w:lineRule="auto"/>
              <w:ind w:left="-24" w:firstLine="0"/>
              <w:jc w:val="center"/>
              <w:rPr>
                <w:lang w:val="en"/>
              </w:rPr>
            </w:pPr>
            <w:r>
              <w:rPr>
                <w:lang w:val="en"/>
              </w:rPr>
              <w:t>224</w:t>
            </w:r>
          </w:p>
        </w:tc>
        <w:tc>
          <w:tcPr>
            <w:tcW w:w="975" w:type="dxa"/>
          </w:tcPr>
          <w:p w14:paraId="7970120D" w14:textId="27F5A726" w:rsidR="00B61AD0" w:rsidRPr="00B61AD0" w:rsidRDefault="00B61AD0" w:rsidP="00D10293">
            <w:pPr>
              <w:spacing w:line="360" w:lineRule="auto"/>
              <w:ind w:left="-24" w:firstLine="0"/>
              <w:jc w:val="center"/>
              <w:rPr>
                <w:lang w:val="en"/>
              </w:rPr>
            </w:pPr>
            <w:r>
              <w:rPr>
                <w:lang w:val="en"/>
              </w:rPr>
              <w:t>78.60</w:t>
            </w:r>
          </w:p>
        </w:tc>
      </w:tr>
      <w:tr w:rsidR="00B61AD0" w:rsidRPr="00B61AD0" w14:paraId="6FB866C3" w14:textId="77777777" w:rsidTr="00B61AD0">
        <w:tc>
          <w:tcPr>
            <w:tcW w:w="1980" w:type="dxa"/>
          </w:tcPr>
          <w:p w14:paraId="27FE2E05" w14:textId="38F006E2" w:rsidR="00B61AD0" w:rsidRPr="00B61AD0" w:rsidRDefault="00B61AD0" w:rsidP="00D10293">
            <w:pPr>
              <w:spacing w:line="360" w:lineRule="auto"/>
              <w:ind w:left="-24" w:firstLine="0"/>
              <w:rPr>
                <w:lang w:val="en"/>
              </w:rPr>
            </w:pPr>
            <w:r>
              <w:rPr>
                <w:lang w:val="en"/>
              </w:rPr>
              <w:t>Left</w:t>
            </w:r>
          </w:p>
        </w:tc>
        <w:tc>
          <w:tcPr>
            <w:tcW w:w="730" w:type="dxa"/>
          </w:tcPr>
          <w:p w14:paraId="5D384EFB" w14:textId="7911BB4D" w:rsidR="00B61AD0" w:rsidRPr="00B61AD0" w:rsidRDefault="00B61AD0" w:rsidP="00D10293">
            <w:pPr>
              <w:spacing w:line="360" w:lineRule="auto"/>
              <w:ind w:left="-24" w:firstLine="0"/>
              <w:jc w:val="center"/>
              <w:rPr>
                <w:lang w:val="en"/>
              </w:rPr>
            </w:pPr>
            <w:r>
              <w:rPr>
                <w:lang w:val="en"/>
              </w:rPr>
              <w:t>61</w:t>
            </w:r>
          </w:p>
        </w:tc>
        <w:tc>
          <w:tcPr>
            <w:tcW w:w="975" w:type="dxa"/>
          </w:tcPr>
          <w:p w14:paraId="543AD2DE" w14:textId="115E2B4C" w:rsidR="00B61AD0" w:rsidRPr="00B61AD0" w:rsidRDefault="00B61AD0" w:rsidP="00D10293">
            <w:pPr>
              <w:spacing w:line="360" w:lineRule="auto"/>
              <w:ind w:left="-24" w:firstLine="0"/>
              <w:jc w:val="center"/>
              <w:rPr>
                <w:lang w:val="en"/>
              </w:rPr>
            </w:pPr>
            <w:r>
              <w:rPr>
                <w:lang w:val="en"/>
              </w:rPr>
              <w:t>21.40</w:t>
            </w:r>
          </w:p>
        </w:tc>
      </w:tr>
      <w:tr w:rsidR="00B61AD0" w:rsidRPr="00B61AD0" w14:paraId="0A61EDB7" w14:textId="77777777" w:rsidTr="00B61AD0">
        <w:tc>
          <w:tcPr>
            <w:tcW w:w="1980" w:type="dxa"/>
            <w:tcBorders>
              <w:top w:val="single" w:sz="4" w:space="0" w:color="auto"/>
              <w:bottom w:val="single" w:sz="4" w:space="0" w:color="auto"/>
            </w:tcBorders>
          </w:tcPr>
          <w:p w14:paraId="7BE2CA14" w14:textId="77777777" w:rsidR="00B61AD0" w:rsidRPr="00B61AD0" w:rsidRDefault="00B61AD0" w:rsidP="00D10293">
            <w:pPr>
              <w:spacing w:line="360" w:lineRule="auto"/>
              <w:ind w:left="-24" w:firstLine="0"/>
              <w:rPr>
                <w:lang w:val="en"/>
              </w:rPr>
            </w:pPr>
            <w:r w:rsidRPr="00B61AD0">
              <w:rPr>
                <w:lang w:val="en"/>
              </w:rPr>
              <w:t>Total</w:t>
            </w:r>
          </w:p>
        </w:tc>
        <w:tc>
          <w:tcPr>
            <w:tcW w:w="730" w:type="dxa"/>
            <w:tcBorders>
              <w:top w:val="single" w:sz="4" w:space="0" w:color="auto"/>
              <w:bottom w:val="single" w:sz="4" w:space="0" w:color="auto"/>
            </w:tcBorders>
          </w:tcPr>
          <w:p w14:paraId="466F6045" w14:textId="5C48628F" w:rsidR="00B61AD0" w:rsidRPr="00B61AD0" w:rsidRDefault="00B61AD0" w:rsidP="00D10293">
            <w:pPr>
              <w:spacing w:line="360" w:lineRule="auto"/>
              <w:ind w:left="-24" w:firstLine="0"/>
              <w:jc w:val="center"/>
              <w:rPr>
                <w:lang w:val="en"/>
              </w:rPr>
            </w:pPr>
            <w:r>
              <w:rPr>
                <w:lang w:val="en"/>
              </w:rPr>
              <w:t>285</w:t>
            </w:r>
          </w:p>
        </w:tc>
        <w:tc>
          <w:tcPr>
            <w:tcW w:w="975" w:type="dxa"/>
            <w:tcBorders>
              <w:top w:val="single" w:sz="4" w:space="0" w:color="auto"/>
              <w:bottom w:val="single" w:sz="4" w:space="0" w:color="auto"/>
            </w:tcBorders>
          </w:tcPr>
          <w:p w14:paraId="39CD0C69" w14:textId="77777777" w:rsidR="00B61AD0" w:rsidRPr="00B61AD0" w:rsidRDefault="00B61AD0" w:rsidP="00D10293">
            <w:pPr>
              <w:spacing w:line="360" w:lineRule="auto"/>
              <w:ind w:left="-24" w:firstLine="0"/>
              <w:jc w:val="center"/>
              <w:rPr>
                <w:lang w:val="en"/>
              </w:rPr>
            </w:pPr>
            <w:r w:rsidRPr="00B61AD0">
              <w:rPr>
                <w:lang w:val="en"/>
              </w:rPr>
              <w:t>100%</w:t>
            </w:r>
          </w:p>
        </w:tc>
      </w:tr>
    </w:tbl>
    <w:p w14:paraId="652A0BD3" w14:textId="50232A85" w:rsidR="00D83C0B" w:rsidRPr="00D83C0B" w:rsidRDefault="008C1DEC" w:rsidP="00D10293">
      <w:pPr>
        <w:spacing w:line="360" w:lineRule="auto"/>
        <w:ind w:left="0" w:firstLine="0"/>
      </w:pPr>
      <w:r>
        <w:t xml:space="preserve">We used a FIFA dataset that includes player attributes </w:t>
      </w:r>
      <w:r w:rsidR="00971480">
        <w:t xml:space="preserve">in </w:t>
      </w:r>
      <w:r>
        <w:t>20</w:t>
      </w:r>
      <w:r w:rsidR="00971480">
        <w:t>14</w:t>
      </w:r>
      <w:r>
        <w:t>, focusing on the year 2021 with no missing values. Age (IV) represents the players' ages, while Potential (IV) indicates the players' possible future performance. Value (IV)</w:t>
      </w:r>
      <w:r w:rsidR="00077C07">
        <w:t xml:space="preserve"> </w:t>
      </w:r>
      <w:r>
        <w:t xml:space="preserve">in </w:t>
      </w:r>
      <w:r w:rsidR="00077C07">
        <w:t>millions</w:t>
      </w:r>
      <w:r>
        <w:t xml:space="preserve"> reflects the market value of players, and Preferred Foot (IV) categorizes players based on their dominant foot for play</w:t>
      </w:r>
      <w:r w:rsidR="00077C07">
        <w:t>,</w:t>
      </w:r>
      <w:r w:rsidR="00077C07" w:rsidRPr="00077C07">
        <w:t xml:space="preserve"> Overall Rating (DV)</w:t>
      </w:r>
      <w:r w:rsidR="00077C07">
        <w:t xml:space="preserve"> t</w:t>
      </w:r>
      <w:r w:rsidR="00077C07" w:rsidRPr="00077C07">
        <w:t xml:space="preserve">he overall performance rating of the </w:t>
      </w:r>
      <w:r w:rsidR="00D83C0B" w:rsidRPr="00077C07">
        <w:t>player.</w:t>
      </w:r>
      <w:r w:rsidR="00A8418A" w:rsidRPr="00A8418A">
        <w:t xml:space="preserve"> The Preferred Foot variable is categorical and is treated as a dummy variable in the analysis.</w:t>
      </w:r>
      <w:r w:rsidR="00A8418A">
        <w:t xml:space="preserve"> It has been </w:t>
      </w:r>
      <w:r w:rsidR="00A8418A" w:rsidRPr="00A8418A">
        <w:t xml:space="preserve">converted into a dummy variable format, where </w:t>
      </w:r>
      <w:r w:rsidR="00A8418A">
        <w:t>the Right foot</w:t>
      </w:r>
      <w:r w:rsidR="00A8418A" w:rsidRPr="00A8418A">
        <w:t xml:space="preserve"> is used as the reference group.</w:t>
      </w:r>
      <w:r w:rsidR="00D83C0B" w:rsidRPr="00D83C0B">
        <w:t xml:space="preserve"> The distribution shows that the </w:t>
      </w:r>
      <w:r w:rsidR="00D83C0B" w:rsidRPr="00D83C0B">
        <w:rPr>
          <w:b/>
          <w:bCs/>
        </w:rPr>
        <w:t>right-footed dominate</w:t>
      </w:r>
      <w:r w:rsidR="00D83C0B" w:rsidRPr="00D83C0B">
        <w:t xml:space="preserve"> the dataset, with nearly 80% of players preferring their right foot.</w:t>
      </w:r>
    </w:p>
    <w:tbl>
      <w:tblPr>
        <w:tblStyle w:val="TableGrid1"/>
        <w:tblpPr w:leftFromText="180" w:rightFromText="180"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69"/>
        <w:gridCol w:w="916"/>
        <w:gridCol w:w="889"/>
        <w:gridCol w:w="849"/>
        <w:gridCol w:w="889"/>
        <w:gridCol w:w="916"/>
        <w:gridCol w:w="1219"/>
      </w:tblGrid>
      <w:tr w:rsidR="00D10293" w:rsidRPr="00B61AD0" w14:paraId="5EB093A7" w14:textId="77777777" w:rsidTr="00D10293">
        <w:tc>
          <w:tcPr>
            <w:tcW w:w="7108" w:type="dxa"/>
            <w:gridSpan w:val="7"/>
            <w:tcBorders>
              <w:bottom w:val="double" w:sz="4" w:space="0" w:color="auto"/>
            </w:tcBorders>
          </w:tcPr>
          <w:p w14:paraId="08BAB819"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b/>
              </w:rPr>
              <w:t xml:space="preserve">Table 2: </w:t>
            </w:r>
            <w:r>
              <w:rPr>
                <w:b/>
              </w:rPr>
              <w:t xml:space="preserve">univariate </w:t>
            </w:r>
            <w:r w:rsidRPr="00F22061">
              <w:rPr>
                <w:b/>
              </w:rPr>
              <w:t>PQ table</w:t>
            </w:r>
            <w:r>
              <w:rPr>
                <w:b/>
              </w:rPr>
              <w:t xml:space="preserve"> for Age, value, overall and Potential</w:t>
            </w:r>
          </w:p>
        </w:tc>
        <w:tc>
          <w:tcPr>
            <w:tcW w:w="1219" w:type="dxa"/>
            <w:tcBorders>
              <w:bottom w:val="double" w:sz="4" w:space="0" w:color="auto"/>
            </w:tcBorders>
          </w:tcPr>
          <w:p w14:paraId="7E3552A6" w14:textId="77777777" w:rsidR="00D10293" w:rsidRPr="00B61AD0" w:rsidRDefault="00D10293" w:rsidP="00D10293">
            <w:pPr>
              <w:spacing w:line="360" w:lineRule="auto"/>
              <w:ind w:left="0" w:firstLine="0"/>
              <w:contextualSpacing/>
              <w:jc w:val="center"/>
              <w:rPr>
                <w:rFonts w:ascii="Arial" w:eastAsia="Arial" w:hAnsi="Arial" w:cs="Arial"/>
                <w:b/>
              </w:rPr>
            </w:pPr>
          </w:p>
        </w:tc>
      </w:tr>
      <w:tr w:rsidR="00D10293" w:rsidRPr="00B61AD0" w14:paraId="253F816B" w14:textId="77777777" w:rsidTr="00D10293">
        <w:tc>
          <w:tcPr>
            <w:tcW w:w="1980" w:type="dxa"/>
            <w:tcBorders>
              <w:top w:val="double" w:sz="4" w:space="0" w:color="auto"/>
              <w:bottom w:val="single" w:sz="4" w:space="0" w:color="auto"/>
            </w:tcBorders>
          </w:tcPr>
          <w:p w14:paraId="371D567E" w14:textId="77777777" w:rsidR="00D10293" w:rsidRPr="00B61AD0" w:rsidRDefault="00D10293" w:rsidP="00D10293">
            <w:pPr>
              <w:spacing w:line="360" w:lineRule="auto"/>
              <w:ind w:left="0" w:firstLine="0"/>
              <w:contextualSpacing/>
              <w:rPr>
                <w:rFonts w:ascii="Arial" w:eastAsia="Arial" w:hAnsi="Arial" w:cs="Arial"/>
              </w:rPr>
            </w:pPr>
          </w:p>
        </w:tc>
        <w:tc>
          <w:tcPr>
            <w:tcW w:w="669" w:type="dxa"/>
            <w:tcBorders>
              <w:top w:val="double" w:sz="4" w:space="0" w:color="auto"/>
              <w:bottom w:val="single" w:sz="4" w:space="0" w:color="auto"/>
            </w:tcBorders>
          </w:tcPr>
          <w:p w14:paraId="7B8BFE08"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Freq</w:t>
            </w:r>
          </w:p>
        </w:tc>
        <w:tc>
          <w:tcPr>
            <w:tcW w:w="916" w:type="dxa"/>
            <w:tcBorders>
              <w:top w:val="double" w:sz="4" w:space="0" w:color="auto"/>
              <w:bottom w:val="single" w:sz="4" w:space="0" w:color="auto"/>
            </w:tcBorders>
          </w:tcPr>
          <w:p w14:paraId="449D6614"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Min</w:t>
            </w:r>
          </w:p>
        </w:tc>
        <w:tc>
          <w:tcPr>
            <w:tcW w:w="889" w:type="dxa"/>
            <w:tcBorders>
              <w:top w:val="double" w:sz="4" w:space="0" w:color="auto"/>
              <w:bottom w:val="single" w:sz="4" w:space="0" w:color="auto"/>
            </w:tcBorders>
          </w:tcPr>
          <w:p w14:paraId="6561D9C4"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Max</w:t>
            </w:r>
          </w:p>
        </w:tc>
        <w:tc>
          <w:tcPr>
            <w:tcW w:w="849" w:type="dxa"/>
            <w:tcBorders>
              <w:top w:val="double" w:sz="4" w:space="0" w:color="auto"/>
              <w:bottom w:val="single" w:sz="4" w:space="0" w:color="auto"/>
            </w:tcBorders>
          </w:tcPr>
          <w:p w14:paraId="75EC1F7F"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Med.</w:t>
            </w:r>
          </w:p>
        </w:tc>
        <w:tc>
          <w:tcPr>
            <w:tcW w:w="889" w:type="dxa"/>
            <w:tcBorders>
              <w:top w:val="double" w:sz="4" w:space="0" w:color="auto"/>
              <w:bottom w:val="single" w:sz="4" w:space="0" w:color="auto"/>
            </w:tcBorders>
          </w:tcPr>
          <w:p w14:paraId="7E814F88"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Mean</w:t>
            </w:r>
          </w:p>
        </w:tc>
        <w:tc>
          <w:tcPr>
            <w:tcW w:w="916" w:type="dxa"/>
            <w:tcBorders>
              <w:top w:val="double" w:sz="4" w:space="0" w:color="auto"/>
              <w:bottom w:val="single" w:sz="4" w:space="0" w:color="auto"/>
            </w:tcBorders>
          </w:tcPr>
          <w:p w14:paraId="41D5131C"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SD</w:t>
            </w:r>
          </w:p>
        </w:tc>
        <w:tc>
          <w:tcPr>
            <w:tcW w:w="1219" w:type="dxa"/>
            <w:tcBorders>
              <w:top w:val="double" w:sz="4" w:space="0" w:color="auto"/>
              <w:bottom w:val="single" w:sz="4" w:space="0" w:color="auto"/>
            </w:tcBorders>
          </w:tcPr>
          <w:p w14:paraId="264AF902" w14:textId="77777777" w:rsidR="00D10293" w:rsidRPr="00B61AD0" w:rsidRDefault="00D10293" w:rsidP="00D10293">
            <w:pPr>
              <w:spacing w:line="360" w:lineRule="auto"/>
              <w:ind w:left="0" w:firstLine="0"/>
              <w:contextualSpacing/>
              <w:jc w:val="center"/>
              <w:rPr>
                <w:rFonts w:ascii="Arial" w:eastAsia="Arial" w:hAnsi="Arial" w:cs="Arial"/>
              </w:rPr>
            </w:pPr>
            <w:r w:rsidRPr="00B61AD0">
              <w:rPr>
                <w:rFonts w:ascii="Arial" w:eastAsia="Arial" w:hAnsi="Arial" w:cs="Arial"/>
              </w:rPr>
              <w:t>Skewness</w:t>
            </w:r>
          </w:p>
        </w:tc>
      </w:tr>
      <w:tr w:rsidR="00D10293" w:rsidRPr="00B61AD0" w14:paraId="64E0A08E" w14:textId="77777777" w:rsidTr="00D10293">
        <w:tc>
          <w:tcPr>
            <w:tcW w:w="1980" w:type="dxa"/>
            <w:tcBorders>
              <w:top w:val="single" w:sz="4" w:space="0" w:color="auto"/>
            </w:tcBorders>
          </w:tcPr>
          <w:p w14:paraId="1054A87C" w14:textId="77777777" w:rsidR="00D10293" w:rsidRPr="00B61AD0" w:rsidRDefault="00D10293" w:rsidP="00D10293">
            <w:pPr>
              <w:spacing w:line="360" w:lineRule="auto"/>
              <w:ind w:left="0" w:firstLine="0"/>
              <w:contextualSpacing/>
              <w:rPr>
                <w:rFonts w:ascii="Arial" w:eastAsia="Arial" w:hAnsi="Arial" w:cs="Arial"/>
              </w:rPr>
            </w:pPr>
            <w:r>
              <w:rPr>
                <w:rFonts w:ascii="Arial" w:eastAsia="Arial" w:hAnsi="Arial" w:cs="Arial"/>
              </w:rPr>
              <w:t>Overall</w:t>
            </w:r>
          </w:p>
        </w:tc>
        <w:tc>
          <w:tcPr>
            <w:tcW w:w="669" w:type="dxa"/>
            <w:tcBorders>
              <w:top w:val="single" w:sz="4" w:space="0" w:color="auto"/>
            </w:tcBorders>
          </w:tcPr>
          <w:p w14:paraId="1AD062E2"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285</w:t>
            </w:r>
          </w:p>
        </w:tc>
        <w:tc>
          <w:tcPr>
            <w:tcW w:w="916" w:type="dxa"/>
            <w:tcBorders>
              <w:top w:val="single" w:sz="4" w:space="0" w:color="auto"/>
            </w:tcBorders>
          </w:tcPr>
          <w:p w14:paraId="476E36AB"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54</w:t>
            </w:r>
          </w:p>
        </w:tc>
        <w:tc>
          <w:tcPr>
            <w:tcW w:w="889" w:type="dxa"/>
            <w:tcBorders>
              <w:top w:val="single" w:sz="4" w:space="0" w:color="auto"/>
            </w:tcBorders>
          </w:tcPr>
          <w:p w14:paraId="6A340B4C"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92</w:t>
            </w:r>
          </w:p>
        </w:tc>
        <w:tc>
          <w:tcPr>
            <w:tcW w:w="849" w:type="dxa"/>
            <w:tcBorders>
              <w:top w:val="single" w:sz="4" w:space="0" w:color="auto"/>
            </w:tcBorders>
          </w:tcPr>
          <w:p w14:paraId="69A23FE5"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71</w:t>
            </w:r>
          </w:p>
        </w:tc>
        <w:tc>
          <w:tcPr>
            <w:tcW w:w="889" w:type="dxa"/>
            <w:tcBorders>
              <w:top w:val="single" w:sz="4" w:space="0" w:color="auto"/>
            </w:tcBorders>
          </w:tcPr>
          <w:p w14:paraId="107A1381"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70.85</w:t>
            </w:r>
          </w:p>
        </w:tc>
        <w:tc>
          <w:tcPr>
            <w:tcW w:w="916" w:type="dxa"/>
            <w:tcBorders>
              <w:top w:val="single" w:sz="4" w:space="0" w:color="auto"/>
            </w:tcBorders>
          </w:tcPr>
          <w:p w14:paraId="364AF123"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6.74</w:t>
            </w:r>
          </w:p>
        </w:tc>
        <w:tc>
          <w:tcPr>
            <w:tcW w:w="1219" w:type="dxa"/>
            <w:tcBorders>
              <w:top w:val="single" w:sz="4" w:space="0" w:color="auto"/>
            </w:tcBorders>
          </w:tcPr>
          <w:p w14:paraId="7411AB2C"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0.23</w:t>
            </w:r>
          </w:p>
        </w:tc>
      </w:tr>
      <w:tr w:rsidR="00D10293" w:rsidRPr="00B61AD0" w14:paraId="6324383E" w14:textId="77777777" w:rsidTr="00D10293">
        <w:tc>
          <w:tcPr>
            <w:tcW w:w="1980" w:type="dxa"/>
          </w:tcPr>
          <w:p w14:paraId="187C653E" w14:textId="77777777" w:rsidR="00D10293" w:rsidRPr="00B61AD0" w:rsidRDefault="00D10293" w:rsidP="00D10293">
            <w:pPr>
              <w:spacing w:line="360" w:lineRule="auto"/>
              <w:ind w:left="0" w:firstLine="0"/>
              <w:contextualSpacing/>
              <w:rPr>
                <w:rFonts w:ascii="Arial" w:eastAsia="Arial" w:hAnsi="Arial" w:cs="Arial"/>
              </w:rPr>
            </w:pPr>
            <w:r>
              <w:rPr>
                <w:rFonts w:ascii="Arial" w:eastAsia="Arial" w:hAnsi="Arial" w:cs="Arial"/>
              </w:rPr>
              <w:t>Age</w:t>
            </w:r>
          </w:p>
        </w:tc>
        <w:tc>
          <w:tcPr>
            <w:tcW w:w="669" w:type="dxa"/>
          </w:tcPr>
          <w:p w14:paraId="7744C673"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285</w:t>
            </w:r>
          </w:p>
        </w:tc>
        <w:tc>
          <w:tcPr>
            <w:tcW w:w="916" w:type="dxa"/>
          </w:tcPr>
          <w:p w14:paraId="247E1C32"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19</w:t>
            </w:r>
          </w:p>
        </w:tc>
        <w:tc>
          <w:tcPr>
            <w:tcW w:w="889" w:type="dxa"/>
          </w:tcPr>
          <w:p w14:paraId="150C6BBB"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39</w:t>
            </w:r>
          </w:p>
        </w:tc>
        <w:tc>
          <w:tcPr>
            <w:tcW w:w="849" w:type="dxa"/>
          </w:tcPr>
          <w:p w14:paraId="188D95F0"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29</w:t>
            </w:r>
          </w:p>
        </w:tc>
        <w:tc>
          <w:tcPr>
            <w:tcW w:w="889" w:type="dxa"/>
          </w:tcPr>
          <w:p w14:paraId="0ABDEA16"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28.83</w:t>
            </w:r>
          </w:p>
        </w:tc>
        <w:tc>
          <w:tcPr>
            <w:tcW w:w="916" w:type="dxa"/>
          </w:tcPr>
          <w:p w14:paraId="32CA15ED"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4.42</w:t>
            </w:r>
          </w:p>
        </w:tc>
        <w:tc>
          <w:tcPr>
            <w:tcW w:w="1219" w:type="dxa"/>
          </w:tcPr>
          <w:p w14:paraId="0DB7E6F7"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-0.04</w:t>
            </w:r>
          </w:p>
        </w:tc>
      </w:tr>
      <w:tr w:rsidR="00D10293" w:rsidRPr="00B61AD0" w14:paraId="12696950" w14:textId="77777777" w:rsidTr="00D10293">
        <w:tc>
          <w:tcPr>
            <w:tcW w:w="1980" w:type="dxa"/>
            <w:tcBorders>
              <w:bottom w:val="single" w:sz="4" w:space="0" w:color="auto"/>
            </w:tcBorders>
          </w:tcPr>
          <w:p w14:paraId="7F8E8A4C" w14:textId="77777777" w:rsidR="00D10293" w:rsidRDefault="00D10293" w:rsidP="00D10293">
            <w:pPr>
              <w:spacing w:line="360" w:lineRule="auto"/>
              <w:ind w:left="0" w:firstLine="0"/>
              <w:contextualSpacing/>
              <w:rPr>
                <w:rFonts w:ascii="Arial" w:eastAsia="Arial" w:hAnsi="Arial" w:cs="Arial"/>
              </w:rPr>
            </w:pPr>
            <w:r>
              <w:rPr>
                <w:rFonts w:ascii="Arial" w:eastAsia="Arial" w:hAnsi="Arial" w:cs="Arial"/>
              </w:rPr>
              <w:t>Potential</w:t>
            </w:r>
          </w:p>
        </w:tc>
        <w:tc>
          <w:tcPr>
            <w:tcW w:w="669" w:type="dxa"/>
            <w:tcBorders>
              <w:bottom w:val="single" w:sz="4" w:space="0" w:color="auto"/>
            </w:tcBorders>
          </w:tcPr>
          <w:p w14:paraId="1A5C7568"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285</w:t>
            </w:r>
          </w:p>
        </w:tc>
        <w:tc>
          <w:tcPr>
            <w:tcW w:w="916" w:type="dxa"/>
            <w:tcBorders>
              <w:bottom w:val="single" w:sz="4" w:space="0" w:color="auto"/>
            </w:tcBorders>
          </w:tcPr>
          <w:p w14:paraId="6810CA8E"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54.00</w:t>
            </w:r>
          </w:p>
        </w:tc>
        <w:tc>
          <w:tcPr>
            <w:tcW w:w="889" w:type="dxa"/>
            <w:tcBorders>
              <w:bottom w:val="single" w:sz="4" w:space="0" w:color="auto"/>
            </w:tcBorders>
          </w:tcPr>
          <w:p w14:paraId="67379721"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93.00</w:t>
            </w:r>
          </w:p>
        </w:tc>
        <w:tc>
          <w:tcPr>
            <w:tcW w:w="849" w:type="dxa"/>
            <w:tcBorders>
              <w:bottom w:val="single" w:sz="4" w:space="0" w:color="auto"/>
            </w:tcBorders>
          </w:tcPr>
          <w:p w14:paraId="5AADBC41"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72.00</w:t>
            </w:r>
          </w:p>
        </w:tc>
        <w:tc>
          <w:tcPr>
            <w:tcW w:w="889" w:type="dxa"/>
            <w:tcBorders>
              <w:bottom w:val="single" w:sz="4" w:space="0" w:color="auto"/>
            </w:tcBorders>
          </w:tcPr>
          <w:p w14:paraId="561BFFB3"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72.80</w:t>
            </w:r>
          </w:p>
        </w:tc>
        <w:tc>
          <w:tcPr>
            <w:tcW w:w="916" w:type="dxa"/>
            <w:tcBorders>
              <w:bottom w:val="single" w:sz="4" w:space="0" w:color="auto"/>
            </w:tcBorders>
          </w:tcPr>
          <w:p w14:paraId="0B2D5A0F"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6.37</w:t>
            </w:r>
          </w:p>
        </w:tc>
        <w:tc>
          <w:tcPr>
            <w:tcW w:w="1219" w:type="dxa"/>
            <w:tcBorders>
              <w:bottom w:val="single" w:sz="4" w:space="0" w:color="auto"/>
            </w:tcBorders>
          </w:tcPr>
          <w:p w14:paraId="65E4B7BB"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0.28</w:t>
            </w:r>
          </w:p>
        </w:tc>
      </w:tr>
      <w:tr w:rsidR="00D10293" w:rsidRPr="00B61AD0" w14:paraId="721CEBBD" w14:textId="77777777" w:rsidTr="00D10293">
        <w:tc>
          <w:tcPr>
            <w:tcW w:w="1980" w:type="dxa"/>
            <w:tcBorders>
              <w:bottom w:val="single" w:sz="4" w:space="0" w:color="auto"/>
            </w:tcBorders>
          </w:tcPr>
          <w:p w14:paraId="70F9D682" w14:textId="77777777" w:rsidR="00D10293" w:rsidRDefault="00D10293" w:rsidP="00D10293">
            <w:pPr>
              <w:spacing w:line="360" w:lineRule="auto"/>
              <w:ind w:left="0" w:firstLine="0"/>
              <w:contextualSpacing/>
              <w:rPr>
                <w:rFonts w:ascii="Arial" w:eastAsia="Arial" w:hAnsi="Arial" w:cs="Arial"/>
              </w:rPr>
            </w:pPr>
            <w:r>
              <w:rPr>
                <w:rFonts w:ascii="Arial" w:eastAsia="Arial" w:hAnsi="Arial" w:cs="Arial"/>
              </w:rPr>
              <w:t>Value</w:t>
            </w:r>
          </w:p>
        </w:tc>
        <w:tc>
          <w:tcPr>
            <w:tcW w:w="669" w:type="dxa"/>
            <w:tcBorders>
              <w:bottom w:val="single" w:sz="4" w:space="0" w:color="auto"/>
            </w:tcBorders>
          </w:tcPr>
          <w:p w14:paraId="3BA73F20"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285</w:t>
            </w:r>
          </w:p>
        </w:tc>
        <w:tc>
          <w:tcPr>
            <w:tcW w:w="916" w:type="dxa"/>
            <w:tcBorders>
              <w:bottom w:val="single" w:sz="4" w:space="0" w:color="auto"/>
            </w:tcBorders>
          </w:tcPr>
          <w:p w14:paraId="1A2D78E2"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0.00</w:t>
            </w:r>
          </w:p>
        </w:tc>
        <w:tc>
          <w:tcPr>
            <w:tcW w:w="889" w:type="dxa"/>
            <w:tcBorders>
              <w:bottom w:val="single" w:sz="4" w:space="0" w:color="auto"/>
            </w:tcBorders>
          </w:tcPr>
          <w:p w14:paraId="5D8329CD"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119.50</w:t>
            </w:r>
          </w:p>
        </w:tc>
        <w:tc>
          <w:tcPr>
            <w:tcW w:w="849" w:type="dxa"/>
            <w:tcBorders>
              <w:bottom w:val="single" w:sz="4" w:space="0" w:color="auto"/>
            </w:tcBorders>
          </w:tcPr>
          <w:p w14:paraId="0BE7840E"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1.50</w:t>
            </w:r>
          </w:p>
        </w:tc>
        <w:tc>
          <w:tcPr>
            <w:tcW w:w="889" w:type="dxa"/>
            <w:tcBorders>
              <w:bottom w:val="single" w:sz="4" w:space="0" w:color="auto"/>
            </w:tcBorders>
          </w:tcPr>
          <w:p w14:paraId="4BC1B3C0"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5.97</w:t>
            </w:r>
          </w:p>
        </w:tc>
        <w:tc>
          <w:tcPr>
            <w:tcW w:w="916" w:type="dxa"/>
            <w:tcBorders>
              <w:bottom w:val="single" w:sz="4" w:space="0" w:color="auto"/>
            </w:tcBorders>
          </w:tcPr>
          <w:p w14:paraId="61199C19"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15.05</w:t>
            </w:r>
          </w:p>
        </w:tc>
        <w:tc>
          <w:tcPr>
            <w:tcW w:w="1219" w:type="dxa"/>
            <w:tcBorders>
              <w:bottom w:val="single" w:sz="4" w:space="0" w:color="auto"/>
            </w:tcBorders>
          </w:tcPr>
          <w:p w14:paraId="2E8652A2" w14:textId="77777777" w:rsidR="00D10293" w:rsidRPr="00B61AD0" w:rsidRDefault="00D10293" w:rsidP="00D10293">
            <w:pPr>
              <w:spacing w:line="360" w:lineRule="auto"/>
              <w:ind w:left="0" w:firstLine="0"/>
              <w:contextualSpacing/>
              <w:jc w:val="center"/>
              <w:rPr>
                <w:rFonts w:ascii="Arial" w:eastAsia="Arial" w:hAnsi="Arial" w:cs="Arial"/>
              </w:rPr>
            </w:pPr>
            <w:r>
              <w:rPr>
                <w:rFonts w:ascii="Arial" w:eastAsia="Arial" w:hAnsi="Arial" w:cs="Arial"/>
              </w:rPr>
              <w:t>5.02</w:t>
            </w:r>
          </w:p>
        </w:tc>
      </w:tr>
    </w:tbl>
    <w:p w14:paraId="09A2E538" w14:textId="77777777" w:rsidR="00D10293" w:rsidRDefault="00D10293" w:rsidP="00D10293">
      <w:pPr>
        <w:spacing w:line="360" w:lineRule="auto"/>
        <w:ind w:left="0" w:firstLine="0"/>
      </w:pPr>
    </w:p>
    <w:p w14:paraId="5EB64950" w14:textId="77777777" w:rsidR="00D10293" w:rsidRDefault="00D10293" w:rsidP="00D10293">
      <w:pPr>
        <w:spacing w:line="360" w:lineRule="auto"/>
        <w:ind w:left="0" w:firstLine="0"/>
      </w:pPr>
    </w:p>
    <w:p w14:paraId="0FC8E75F" w14:textId="77777777" w:rsidR="00D10293" w:rsidRDefault="00D10293" w:rsidP="00D10293">
      <w:pPr>
        <w:spacing w:line="360" w:lineRule="auto"/>
        <w:ind w:left="0" w:firstLine="0"/>
      </w:pPr>
    </w:p>
    <w:p w14:paraId="046D45B2" w14:textId="77777777" w:rsidR="00D10293" w:rsidRDefault="00D10293" w:rsidP="00D10293">
      <w:pPr>
        <w:spacing w:line="360" w:lineRule="auto"/>
        <w:ind w:left="0" w:firstLine="0"/>
      </w:pPr>
    </w:p>
    <w:p w14:paraId="73DD46E8" w14:textId="77777777" w:rsidR="00D10293" w:rsidRDefault="00D10293" w:rsidP="00D10293">
      <w:pPr>
        <w:spacing w:line="360" w:lineRule="auto"/>
        <w:ind w:left="0" w:firstLine="0"/>
      </w:pPr>
    </w:p>
    <w:p w14:paraId="222F4E78" w14:textId="77777777" w:rsidR="00D10293" w:rsidRDefault="00D10293" w:rsidP="00D10293">
      <w:pPr>
        <w:spacing w:line="360" w:lineRule="auto"/>
        <w:ind w:left="0" w:firstLine="0"/>
      </w:pPr>
    </w:p>
    <w:p w14:paraId="1C27F6C6" w14:textId="0AF633D6" w:rsidR="00B61AD0" w:rsidRDefault="00D83C0B" w:rsidP="00D10293">
      <w:pPr>
        <w:spacing w:line="360" w:lineRule="auto"/>
        <w:ind w:left="0" w:firstLine="0"/>
      </w:pPr>
      <w:r w:rsidRPr="00D83C0B">
        <w:t xml:space="preserve">Around </w:t>
      </w:r>
      <w:r w:rsidRPr="00D83C0B">
        <w:rPr>
          <w:b/>
          <w:bCs/>
        </w:rPr>
        <w:t>one-fifth of the players</w:t>
      </w:r>
      <w:r w:rsidRPr="00D83C0B">
        <w:t xml:space="preserve"> prefer their left foot, which is a smaller but still notable portion of the group.</w:t>
      </w:r>
    </w:p>
    <w:p w14:paraId="4FE9C348" w14:textId="5E07D110" w:rsidR="008C1DEC" w:rsidRPr="00EB791E" w:rsidRDefault="008C1DEC" w:rsidP="00D10293">
      <w:pPr>
        <w:spacing w:line="360" w:lineRule="auto"/>
        <w:ind w:left="-24" w:firstLine="0"/>
        <w:rPr>
          <w:color w:val="auto"/>
        </w:rPr>
      </w:pPr>
    </w:p>
    <w:p w14:paraId="1AF31403" w14:textId="08B8DE12" w:rsidR="00B61AD0" w:rsidRPr="00D83C0B" w:rsidRDefault="00EB791E" w:rsidP="00D10293">
      <w:pPr>
        <w:spacing w:line="360" w:lineRule="auto"/>
        <w:ind w:left="-24" w:firstLine="0"/>
        <w:rPr>
          <w:color w:val="auto"/>
        </w:rPr>
      </w:pPr>
      <w:r w:rsidRPr="00EB791E">
        <w:rPr>
          <w:color w:val="auto"/>
        </w:rPr>
        <w:t>The 'Value' variable, representing a player's market value, has a mean of 5.97 million euros and a standard deviation of 15.05 million euros, indicating substantial variability. The high skewness of 5.02 suggests a significant right skew, meaning a small number of players have exceptionally high market values, pulling the average up. This is further evidenced by the median value being much lower than the mean, highlighting the influence of these high-value outliers.</w:t>
      </w:r>
      <w:r w:rsidRPr="00EB791E">
        <w:t xml:space="preserve"> </w:t>
      </w:r>
      <w:r>
        <w:t>Most variables exhibit slight skewness and moderate variability, except for 'Value,' which shows significant right skewness and higher variability. This suggests that while characteristics like 'Overall,' 'Age,' and 'Potential' are relatively normally distributed, 'Value' is influenced by a few high outliers, leading to a skewed distribution</w:t>
      </w:r>
    </w:p>
    <w:p w14:paraId="46680FB4" w14:textId="5B4E416D" w:rsidR="008C1DEC" w:rsidRPr="008D5FE6" w:rsidRDefault="008C1DEC" w:rsidP="00D10293">
      <w:pPr>
        <w:spacing w:line="360" w:lineRule="auto"/>
        <w:ind w:left="-24" w:firstLine="0"/>
        <w:rPr>
          <w:b/>
          <w:bCs/>
          <w:color w:val="FF0000"/>
        </w:rPr>
      </w:pPr>
      <w:r w:rsidRPr="008D5FE6">
        <w:rPr>
          <w:b/>
          <w:bCs/>
          <w:color w:val="FF0000"/>
        </w:rPr>
        <w:t xml:space="preserve">Regression </w:t>
      </w:r>
      <w:r w:rsidR="00077C07" w:rsidRPr="008D5FE6">
        <w:rPr>
          <w:b/>
          <w:bCs/>
          <w:color w:val="FF0000"/>
        </w:rPr>
        <w:t>Equation: Overall</w:t>
      </w:r>
      <w:r w:rsidRPr="008D5FE6">
        <w:rPr>
          <w:b/>
          <w:bCs/>
          <w:color w:val="FF0000"/>
        </w:rPr>
        <w:t xml:space="preserve"> Rating = </w:t>
      </w:r>
      <w:r w:rsidR="00077C07" w:rsidRPr="008D5FE6">
        <w:rPr>
          <w:b/>
          <w:bCs/>
          <w:color w:val="FF0000"/>
        </w:rPr>
        <w:t>-11</w:t>
      </w:r>
      <w:r w:rsidRPr="008D5FE6">
        <w:rPr>
          <w:b/>
          <w:bCs/>
          <w:color w:val="FF0000"/>
        </w:rPr>
        <w:t>.</w:t>
      </w:r>
      <w:r w:rsidR="00077C07" w:rsidRPr="008D5FE6">
        <w:rPr>
          <w:b/>
          <w:bCs/>
          <w:color w:val="FF0000"/>
        </w:rPr>
        <w:t>828</w:t>
      </w:r>
      <w:r w:rsidRPr="008D5FE6">
        <w:rPr>
          <w:b/>
          <w:bCs/>
          <w:color w:val="FF0000"/>
        </w:rPr>
        <w:t xml:space="preserve"> + 0.</w:t>
      </w:r>
      <w:r w:rsidR="00077C07" w:rsidRPr="008D5FE6">
        <w:rPr>
          <w:b/>
          <w:bCs/>
          <w:color w:val="FF0000"/>
        </w:rPr>
        <w:t>554</w:t>
      </w:r>
      <w:r w:rsidRPr="008D5FE6">
        <w:rPr>
          <w:b/>
          <w:bCs/>
          <w:color w:val="FF0000"/>
        </w:rPr>
        <w:t xml:space="preserve"> × (Age) + 0.</w:t>
      </w:r>
      <w:r w:rsidR="00077C07" w:rsidRPr="008D5FE6">
        <w:rPr>
          <w:b/>
          <w:bCs/>
          <w:color w:val="FF0000"/>
        </w:rPr>
        <w:t>0.914</w:t>
      </w:r>
      <w:r w:rsidRPr="008D5FE6">
        <w:rPr>
          <w:b/>
          <w:bCs/>
          <w:color w:val="FF0000"/>
        </w:rPr>
        <w:t xml:space="preserve"> × (Potential) + 0.</w:t>
      </w:r>
      <w:r w:rsidR="00077C07" w:rsidRPr="008D5FE6">
        <w:rPr>
          <w:b/>
          <w:bCs/>
          <w:color w:val="FF0000"/>
        </w:rPr>
        <w:t>038</w:t>
      </w:r>
      <w:r w:rsidRPr="008D5FE6">
        <w:rPr>
          <w:b/>
          <w:bCs/>
          <w:color w:val="FF0000"/>
        </w:rPr>
        <w:t xml:space="preserve"> × (Value) </w:t>
      </w:r>
      <w:r w:rsidR="00077C07" w:rsidRPr="008D5FE6">
        <w:rPr>
          <w:b/>
          <w:bCs/>
          <w:color w:val="FF0000"/>
        </w:rPr>
        <w:t>-0.</w:t>
      </w:r>
      <w:r w:rsidR="0019274E" w:rsidRPr="008D5FE6">
        <w:rPr>
          <w:b/>
          <w:bCs/>
          <w:color w:val="FF0000"/>
        </w:rPr>
        <w:t>274 ×</w:t>
      </w:r>
      <w:r w:rsidRPr="008D5FE6">
        <w:rPr>
          <w:b/>
          <w:bCs/>
          <w:color w:val="FF0000"/>
        </w:rPr>
        <w:t xml:space="preserve"> (Preferred Foot</w:t>
      </w:r>
      <w:r w:rsidR="00A8418A">
        <w:rPr>
          <w:b/>
          <w:bCs/>
          <w:color w:val="FF0000"/>
        </w:rPr>
        <w:t>Left</w:t>
      </w:r>
      <w:r w:rsidRPr="008D5FE6">
        <w:rPr>
          <w:b/>
          <w:bCs/>
          <w:color w:val="FF0000"/>
        </w:rPr>
        <w:t xml:space="preserve">) + </w:t>
      </w:r>
      <w:r w:rsidR="00077C07" w:rsidRPr="008D5FE6">
        <w:rPr>
          <w:b/>
          <w:bCs/>
          <w:color w:val="FF0000"/>
        </w:rPr>
        <w:t>e</w:t>
      </w:r>
      <w:r w:rsidRPr="008D5FE6">
        <w:rPr>
          <w:b/>
          <w:bCs/>
          <w:color w:val="FF0000"/>
        </w:rPr>
        <w:t xml:space="preserve">  </w:t>
      </w:r>
    </w:p>
    <w:p w14:paraId="409DF77F" w14:textId="221826A6" w:rsidR="00B84687" w:rsidRPr="00B84687" w:rsidRDefault="00B84687" w:rsidP="00D10293">
      <w:pPr>
        <w:spacing w:line="360" w:lineRule="auto"/>
        <w:ind w:left="-24" w:firstLine="0"/>
      </w:pPr>
      <w:r w:rsidRPr="00B84687">
        <w:rPr>
          <w:b/>
          <w:bCs/>
        </w:rPr>
        <w:t>Intercept (-11.8276</w:t>
      </w:r>
      <w:r w:rsidRPr="00B84687">
        <w:t>): This represents the predicted Overall</w:t>
      </w:r>
      <w:r w:rsidR="00C24550">
        <w:t xml:space="preserve"> </w:t>
      </w:r>
      <w:r w:rsidRPr="00B84687">
        <w:t>rating when all predictor variables (Age, Potential, Value, Preferred Foot) are equal to zero.</w:t>
      </w:r>
    </w:p>
    <w:p w14:paraId="072C914A" w14:textId="5859A617" w:rsidR="00B84687" w:rsidRPr="00B84687" w:rsidRDefault="00B84687" w:rsidP="00D10293">
      <w:pPr>
        <w:spacing w:line="360" w:lineRule="auto"/>
        <w:ind w:left="-24" w:firstLine="0"/>
        <w:rPr>
          <w:b/>
          <w:bCs/>
        </w:rPr>
      </w:pPr>
      <w:r w:rsidRPr="00B84687">
        <w:rPr>
          <w:b/>
          <w:bCs/>
        </w:rPr>
        <w:t>Age (0.5544</w:t>
      </w:r>
      <w:r w:rsidR="00C24550" w:rsidRPr="00B84687">
        <w:rPr>
          <w:b/>
          <w:bCs/>
        </w:rPr>
        <w:t>):</w:t>
      </w:r>
      <w:r w:rsidR="00C24550" w:rsidRPr="00B84687">
        <w:t xml:space="preserve"> For</w:t>
      </w:r>
      <w:r w:rsidRPr="00B84687">
        <w:t xml:space="preserve"> each additional year of age, the Overall</w:t>
      </w:r>
      <w:r w:rsidR="00926B22">
        <w:t xml:space="preserve"> </w:t>
      </w:r>
      <w:r w:rsidRPr="00B84687">
        <w:t>rating is predicted to</w:t>
      </w:r>
      <w:r w:rsidR="00926B22">
        <w:t xml:space="preserve"> an average</w:t>
      </w:r>
      <w:r w:rsidRPr="00B84687">
        <w:t xml:space="preserve"> increase </w:t>
      </w:r>
      <w:r w:rsidR="00926B22" w:rsidRPr="00B84687">
        <w:t>of</w:t>
      </w:r>
      <w:r w:rsidRPr="00B84687">
        <w:t xml:space="preserve"> 0.554 points, assuming all other variables remain constant. The small p-value (&lt; 2e-16) indicates this effect is statistically significant</w:t>
      </w:r>
      <w:r w:rsidRPr="00B84687">
        <w:rPr>
          <w:b/>
          <w:bCs/>
        </w:rPr>
        <w:t>.</w:t>
      </w:r>
    </w:p>
    <w:p w14:paraId="53CE88AB" w14:textId="5236559D" w:rsidR="00B84687" w:rsidRPr="00B84687" w:rsidRDefault="00B84687" w:rsidP="00D10293">
      <w:pPr>
        <w:spacing w:line="360" w:lineRule="auto"/>
        <w:ind w:left="-24" w:firstLine="0"/>
      </w:pPr>
      <w:r w:rsidRPr="00B84687">
        <w:rPr>
          <w:b/>
          <w:bCs/>
        </w:rPr>
        <w:t>Potential (0.9138</w:t>
      </w:r>
      <w:r w:rsidR="00C24550" w:rsidRPr="00B84687">
        <w:rPr>
          <w:b/>
          <w:bCs/>
        </w:rPr>
        <w:t>):</w:t>
      </w:r>
      <w:r w:rsidR="00C24550" w:rsidRPr="00B84687">
        <w:t xml:space="preserve"> For</w:t>
      </w:r>
      <w:r w:rsidRPr="00B84687">
        <w:t xml:space="preserve"> each one-unit increase in a player's potential rating, the "Overall" rating is predicted to increase by 0.9138 points. This variable has a very strong relationship with the dependent variable, given its high coefficient and significance </w:t>
      </w:r>
      <w:r w:rsidR="00C24550">
        <w:t>p &lt;0.01</w:t>
      </w:r>
      <w:r w:rsidRPr="00B84687">
        <w:t>.</w:t>
      </w:r>
    </w:p>
    <w:p w14:paraId="355DD838" w14:textId="30F6850F" w:rsidR="00B84687" w:rsidRPr="00B84687" w:rsidRDefault="00B84687" w:rsidP="00D10293">
      <w:pPr>
        <w:spacing w:line="360" w:lineRule="auto"/>
        <w:ind w:left="-24" w:firstLine="0"/>
      </w:pPr>
      <w:r w:rsidRPr="00B84687">
        <w:rPr>
          <w:b/>
          <w:bCs/>
        </w:rPr>
        <w:t>Value (0.0385</w:t>
      </w:r>
      <w:r w:rsidR="00C24550" w:rsidRPr="00B84687">
        <w:rPr>
          <w:b/>
          <w:bCs/>
        </w:rPr>
        <w:t>):</w:t>
      </w:r>
      <w:r w:rsidR="00C24550" w:rsidRPr="00B84687">
        <w:t xml:space="preserve"> For</w:t>
      </w:r>
      <w:r w:rsidRPr="00B84687">
        <w:t xml:space="preserve"> each unit increase in the</w:t>
      </w:r>
      <w:r w:rsidR="00C24550">
        <w:t xml:space="preserve"> </w:t>
      </w:r>
      <w:r w:rsidRPr="00B84687">
        <w:t>player market value, the Overall rating is expected to increase by</w:t>
      </w:r>
      <w:r w:rsidR="00C24550">
        <w:t xml:space="preserve"> an average of</w:t>
      </w:r>
      <w:r w:rsidRPr="00B84687">
        <w:t xml:space="preserve"> 0.0385 points. This effect is statistically significant</w:t>
      </w:r>
      <w:r w:rsidR="00C24550">
        <w:t xml:space="preserve"> at p &lt; 0.01</w:t>
      </w:r>
    </w:p>
    <w:p w14:paraId="6C3CBCD9" w14:textId="60DC21D3" w:rsidR="00B84687" w:rsidRPr="00B84687" w:rsidRDefault="00B84687" w:rsidP="00D10293">
      <w:pPr>
        <w:spacing w:line="360" w:lineRule="auto"/>
        <w:ind w:left="-24" w:firstLine="0"/>
        <w:rPr>
          <w:b/>
          <w:bCs/>
        </w:rPr>
      </w:pPr>
      <w:r w:rsidRPr="00B84687">
        <w:rPr>
          <w:b/>
          <w:bCs/>
        </w:rPr>
        <w:t>Preferred.FootLeft (-0.2744</w:t>
      </w:r>
      <w:r w:rsidR="00C24550" w:rsidRPr="00B84687">
        <w:rPr>
          <w:b/>
          <w:bCs/>
        </w:rPr>
        <w:t>):</w:t>
      </w:r>
      <w:r w:rsidR="00C24550" w:rsidRPr="00B84687">
        <w:t xml:space="preserve"> </w:t>
      </w:r>
      <w:r w:rsidRPr="00B84687">
        <w:t xml:space="preserve">players who prefer the left foot have an </w:t>
      </w:r>
      <w:r w:rsidR="00C24550" w:rsidRPr="00C24550">
        <w:t>average</w:t>
      </w:r>
      <w:r w:rsidRPr="00C24550">
        <w:t xml:space="preserve"> </w:t>
      </w:r>
      <w:r w:rsidR="00C24550" w:rsidRPr="00C24550">
        <w:t xml:space="preserve">decrease of 0.274 in </w:t>
      </w:r>
      <w:r w:rsidRPr="00B84687">
        <w:t>Overall</w:t>
      </w:r>
      <w:r w:rsidRPr="00C24550">
        <w:t xml:space="preserve"> </w:t>
      </w:r>
      <w:r w:rsidR="00C24550" w:rsidRPr="00B84687">
        <w:t>rating than</w:t>
      </w:r>
      <w:r w:rsidRPr="00B84687">
        <w:t xml:space="preserve"> right-footed players </w:t>
      </w:r>
      <w:r w:rsidR="00C24550" w:rsidRPr="00C24550">
        <w:t>holding other variables constant.</w:t>
      </w:r>
      <w:r w:rsidR="00C24550" w:rsidRPr="00B84687">
        <w:t xml:space="preserve"> However</w:t>
      </w:r>
      <w:r w:rsidRPr="00B84687">
        <w:t>, the p-value (0.272) suggests this effect is not statistically significant, meaning there is no strong evidence that the preferred foot influences a player's overall rating in this model.</w:t>
      </w:r>
    </w:p>
    <w:p w14:paraId="791F4E23" w14:textId="56D4A4A2" w:rsidR="008C1DEC" w:rsidRDefault="008C1DEC" w:rsidP="00D10293">
      <w:pPr>
        <w:spacing w:line="360" w:lineRule="auto"/>
        <w:ind w:left="-24" w:firstLine="0"/>
      </w:pPr>
      <w:r>
        <w:t>The coefficients for Age, Potential, and Value are statistically significant, with p-values &lt; 0.01, indicating a meaningful increase in overall ratings with increases in these variables. The model and independent variables showed statistical significance (F = 698.1, p &lt; 2.2e-16), illustrating a robust relationship. The R-squared value of 0</w:t>
      </w:r>
      <w:r w:rsidR="00077C07">
        <w:t>.93</w:t>
      </w:r>
      <w:r>
        <w:t xml:space="preserve"> indicates that the model explains </w:t>
      </w:r>
      <w:r w:rsidR="00077C07">
        <w:t>93</w:t>
      </w:r>
      <w:r>
        <w:t xml:space="preserve">% of the variability in overall ratings, confirming a strong </w:t>
      </w:r>
      <w:r w:rsidR="00AE6863">
        <w:t xml:space="preserve">fit. For a summary of regression results see </w:t>
      </w:r>
      <w:r w:rsidR="00AE6863" w:rsidRPr="00AE6863">
        <w:rPr>
          <w:b/>
          <w:bCs/>
        </w:rPr>
        <w:t>table 3.</w:t>
      </w:r>
    </w:p>
    <w:p w14:paraId="0BDBC7D1" w14:textId="67C9A22E" w:rsidR="008C1DEC" w:rsidRDefault="008C1DEC" w:rsidP="00C6388E">
      <w:pPr>
        <w:spacing w:line="360" w:lineRule="auto"/>
        <w:ind w:left="0" w:firstLine="0"/>
      </w:pPr>
      <w:r>
        <w:t xml:space="preserve">Given the statistical significance of the independent </w:t>
      </w:r>
      <w:r w:rsidR="008D5FE6">
        <w:t>variables,</w:t>
      </w:r>
      <w:r>
        <w:t xml:space="preserve"> we reject the null hypothesis and confirm a positive relationship between Age, Potential, Value, and Preferred Foot with Overall Rating. The effect sizes suggest substantial real-world implications for player evaluations in FIFA, particularly for players </w:t>
      </w:r>
      <w:r>
        <w:lastRenderedPageBreak/>
        <w:t>with higher potential and market value</w:t>
      </w:r>
      <w:r w:rsidR="00C6388E" w:rsidRPr="00C6388E">
        <w:t xml:space="preserve"> </w:t>
      </w:r>
      <w:r w:rsidR="00C6388E">
        <w:t>Furthermore the calculated power of the regression analysis was found to be approximately 1.0. This indicates that the regression model has a very high probability of detecting an effect, should one exist, suggesting that the sample size is more than adequate for the analysis conducted.</w:t>
      </w:r>
      <w:r>
        <w:t>.</w:t>
      </w:r>
    </w:p>
    <w:p w14:paraId="0B0B32B2" w14:textId="3F0E209D" w:rsidR="000D09C7" w:rsidRPr="000D09C7" w:rsidRDefault="008C1DEC" w:rsidP="00D10293">
      <w:pPr>
        <w:spacing w:line="360" w:lineRule="auto"/>
        <w:ind w:left="-24" w:firstLine="0"/>
      </w:pPr>
      <w:r>
        <w:t xml:space="preserve">Diagnostic plots revealed several key assumptions were </w:t>
      </w:r>
      <w:r w:rsidR="000D09C7">
        <w:t xml:space="preserve">violated such as </w:t>
      </w:r>
      <w:r w:rsidR="000D09C7" w:rsidRPr="000D09C7">
        <w:rPr>
          <w:b/>
          <w:bCs/>
        </w:rPr>
        <w:t>Non-linearity</w:t>
      </w:r>
      <w:r w:rsidR="000D09C7" w:rsidRPr="000D09C7">
        <w:t>: The Residuals vs Fitted plot suggests some non-linearity.</w:t>
      </w:r>
    </w:p>
    <w:p w14:paraId="47A4A03E" w14:textId="5487BE8A" w:rsidR="000D09C7" w:rsidRPr="000D09C7" w:rsidRDefault="000D09C7" w:rsidP="00D10293">
      <w:pPr>
        <w:spacing w:line="360" w:lineRule="auto"/>
        <w:ind w:left="-24" w:firstLine="0"/>
      </w:pPr>
      <w:r w:rsidRPr="000D09C7">
        <w:rPr>
          <w:b/>
          <w:bCs/>
        </w:rPr>
        <w:t>Heteroscedasticity</w:t>
      </w:r>
      <w:r w:rsidRPr="000D09C7">
        <w:t>: Both the Residuals vs Fitted and Scale-Location plots show signs of non-constant variance, suggesting heteroscedasticity.</w:t>
      </w:r>
    </w:p>
    <w:p w14:paraId="11A4529A" w14:textId="7F81F676" w:rsidR="000D09C7" w:rsidRPr="000D09C7" w:rsidRDefault="000D09C7" w:rsidP="00D10293">
      <w:pPr>
        <w:spacing w:line="360" w:lineRule="auto"/>
        <w:ind w:left="-24" w:firstLine="0"/>
      </w:pPr>
      <w:r w:rsidRPr="000D09C7">
        <w:rPr>
          <w:b/>
          <w:bCs/>
        </w:rPr>
        <w:t>Non-normality</w:t>
      </w:r>
      <w:r w:rsidRPr="000D09C7">
        <w:t>: The Q-Q plot shows a deviation from normality, especially in the tails.</w:t>
      </w:r>
    </w:p>
    <w:p w14:paraId="098D5906" w14:textId="595E380A" w:rsidR="008C1DEC" w:rsidRDefault="000D09C7" w:rsidP="00D10293">
      <w:pPr>
        <w:spacing w:line="360" w:lineRule="auto"/>
        <w:ind w:left="-24" w:firstLine="0"/>
      </w:pPr>
      <w:r w:rsidRPr="000D09C7">
        <w:rPr>
          <w:b/>
          <w:bCs/>
        </w:rPr>
        <w:t>Influential Points</w:t>
      </w:r>
      <w:r w:rsidRPr="000D09C7">
        <w:t>: The Residuals vs Leverage plot indicates the presence of some influential points.</w:t>
      </w:r>
    </w:p>
    <w:p w14:paraId="339F4A2C" w14:textId="6CA85F05" w:rsidR="008C1DEC" w:rsidRDefault="008C1DEC" w:rsidP="00D10293">
      <w:pPr>
        <w:spacing w:line="360" w:lineRule="auto"/>
        <w:ind w:left="0" w:firstLine="0"/>
      </w:pPr>
      <w:r>
        <w:t xml:space="preserve">Potential Weakness: One potential limitation is the assumption that all players of the same age or potential have identical impacts on overall ratings, without accounting for variations in individual performance. The analysis indicates potential violations of normality, suggesting our results could be influenced by outliers. Despite this, the key takeaway is that increasing player potential and market value significantly enhances overall </w:t>
      </w:r>
      <w:r w:rsidR="00AE6863">
        <w:t xml:space="preserve">ratings. Depicted by </w:t>
      </w:r>
      <w:r w:rsidR="00AE6863" w:rsidRPr="00AE6863">
        <w:rPr>
          <w:b/>
          <w:bCs/>
        </w:rPr>
        <w:t>PQ</w:t>
      </w:r>
      <w:r w:rsidR="00AE6863">
        <w:t xml:space="preserve"> </w:t>
      </w:r>
      <w:r w:rsidR="00AE6863" w:rsidRPr="00AE6863">
        <w:rPr>
          <w:b/>
          <w:bCs/>
        </w:rPr>
        <w:t xml:space="preserve">Plot </w:t>
      </w:r>
      <w:r w:rsidR="006D628B">
        <w:rPr>
          <w:b/>
          <w:bCs/>
        </w:rPr>
        <w:t>3</w:t>
      </w:r>
      <w:r w:rsidR="00AE6863">
        <w:t>.</w:t>
      </w:r>
    </w:p>
    <w:p w14:paraId="6BD4A1A3" w14:textId="1D7BAC9F" w:rsidR="00AE6863" w:rsidRDefault="00AE6863" w:rsidP="00D10293">
      <w:pPr>
        <w:spacing w:line="360" w:lineRule="auto"/>
        <w:ind w:left="0" w:firstLine="0"/>
      </w:pPr>
      <w:r w:rsidRPr="00AE6863">
        <w:t>Age has a slight positive relationship with Overall Rating, while Potential shows a strong positive relationship and is a significant predictor. Value has a moderate positive effect, especially for higher-value players, but Preferred Foot does not significantly impact Overall Rating. In conclusion, Potential and Value are key predictors, with Age having a weaker influence and Preferred Foot showing little effect</w:t>
      </w:r>
      <w:r>
        <w:t xml:space="preserve"> as shown by </w:t>
      </w:r>
      <w:r w:rsidRPr="00AE6863">
        <w:rPr>
          <w:b/>
          <w:bCs/>
        </w:rPr>
        <w:t>PQ</w:t>
      </w:r>
      <w:r>
        <w:t xml:space="preserve"> </w:t>
      </w:r>
      <w:r w:rsidRPr="00AE6863">
        <w:rPr>
          <w:b/>
          <w:bCs/>
        </w:rPr>
        <w:t>Plot 1</w:t>
      </w:r>
      <w:r w:rsidR="006D628B">
        <w:rPr>
          <w:b/>
          <w:bCs/>
        </w:rPr>
        <w:t xml:space="preserve"> and 2</w:t>
      </w:r>
      <w:r w:rsidRPr="00AE6863">
        <w:rPr>
          <w:b/>
          <w:bCs/>
        </w:rPr>
        <w:t>.</w:t>
      </w:r>
    </w:p>
    <w:p w14:paraId="2AAD2339" w14:textId="77777777" w:rsidR="008C1DEC" w:rsidRDefault="008C1DEC" w:rsidP="00D10293">
      <w:pPr>
        <w:spacing w:line="360" w:lineRule="auto"/>
        <w:ind w:left="0" w:firstLine="0"/>
      </w:pPr>
      <w:r>
        <w:t>Future analyses should incorporate additional attributes, such as player positions and historical performance data, for deeper insights. We recommend using robust regression methods to account for outliers and ensure the accuracy of the results.</w:t>
      </w:r>
    </w:p>
    <w:p w14:paraId="0FC8EF92" w14:textId="45850107" w:rsidR="008C1DEC" w:rsidRDefault="00325B95" w:rsidP="00D10293">
      <w:pPr>
        <w:spacing w:line="360" w:lineRule="auto"/>
        <w:ind w:left="0" w:firstLine="0"/>
      </w:pPr>
      <w:r>
        <w:t>Recommendations: To</w:t>
      </w:r>
      <w:r w:rsidR="008C1DEC">
        <w:t xml:space="preserve"> improve player evaluations and scouting strategies, team managers should consider the influence of age, potential, value, and preferred foot on overall player ratings. Additionally, teams could benefit from assessing successful training and development programs that enhance these attributes, ultimately improving player performance. In conclusion, our analysis demonstrates a significant positive relationship between player attributes and overall ratings in FIFA, highlighting the importance of these factors in player evaluation and market strategies.</w:t>
      </w:r>
    </w:p>
    <w:p w14:paraId="51577693" w14:textId="59707183" w:rsidR="00D83C0B" w:rsidRDefault="00D83C0B" w:rsidP="00D10293">
      <w:pPr>
        <w:spacing w:line="360" w:lineRule="auto"/>
        <w:ind w:left="0" w:firstLine="0"/>
      </w:pPr>
    </w:p>
    <w:p w14:paraId="6D8B3FBF" w14:textId="705749DE" w:rsidR="008874BF" w:rsidRDefault="00747F6E" w:rsidP="00D10293">
      <w:pPr>
        <w:spacing w:line="360" w:lineRule="auto"/>
        <w:ind w:left="0" w:firstLine="0"/>
        <w:rPr>
          <w:b/>
          <w:bCs/>
        </w:rPr>
      </w:pPr>
      <w:r>
        <w:rPr>
          <w:b/>
          <w:bCs/>
          <w:noProof/>
        </w:rPr>
        <w:lastRenderedPageBreak/>
        <w:drawing>
          <wp:anchor distT="0" distB="0" distL="114300" distR="114300" simplePos="0" relativeHeight="251660288" behindDoc="1" locked="0" layoutInCell="1" allowOverlap="1" wp14:anchorId="36DF3C26" wp14:editId="74D509B3">
            <wp:simplePos x="0" y="0"/>
            <wp:positionH relativeFrom="margin">
              <wp:posOffset>-15240</wp:posOffset>
            </wp:positionH>
            <wp:positionV relativeFrom="paragraph">
              <wp:posOffset>0</wp:posOffset>
            </wp:positionV>
            <wp:extent cx="5524500" cy="3875405"/>
            <wp:effectExtent l="0" t="0" r="0" b="0"/>
            <wp:wrapTight wrapText="bothSides">
              <wp:wrapPolygon edited="0">
                <wp:start x="0" y="0"/>
                <wp:lineTo x="0" y="21448"/>
                <wp:lineTo x="21526" y="21448"/>
                <wp:lineTo x="21526" y="0"/>
                <wp:lineTo x="0" y="0"/>
              </wp:wrapPolygon>
            </wp:wrapTight>
            <wp:docPr id="236303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875405"/>
                    </a:xfrm>
                    <a:prstGeom prst="rect">
                      <a:avLst/>
                    </a:prstGeom>
                    <a:noFill/>
                  </pic:spPr>
                </pic:pic>
              </a:graphicData>
            </a:graphic>
            <wp14:sizeRelH relativeFrom="margin">
              <wp14:pctWidth>0</wp14:pctWidth>
            </wp14:sizeRelH>
            <wp14:sizeRelV relativeFrom="margin">
              <wp14:pctHeight>0</wp14:pctHeight>
            </wp14:sizeRelV>
          </wp:anchor>
        </w:drawing>
      </w:r>
    </w:p>
    <w:p w14:paraId="4137EE63" w14:textId="40457139" w:rsidR="00747F6E" w:rsidRDefault="00747F6E" w:rsidP="00D10293">
      <w:pPr>
        <w:spacing w:line="360" w:lineRule="auto"/>
        <w:ind w:left="0" w:firstLine="0"/>
        <w:rPr>
          <w:b/>
          <w:bCs/>
        </w:rPr>
      </w:pPr>
    </w:p>
    <w:p w14:paraId="23AE6C2C" w14:textId="26878042" w:rsidR="00747F6E" w:rsidRDefault="00747F6E" w:rsidP="00D10293">
      <w:pPr>
        <w:spacing w:line="360" w:lineRule="auto"/>
        <w:ind w:left="0" w:firstLine="0"/>
        <w:rPr>
          <w:b/>
          <w:bCs/>
        </w:rPr>
      </w:pPr>
    </w:p>
    <w:p w14:paraId="18378A0C" w14:textId="055CB895" w:rsidR="00747F6E" w:rsidRPr="00AE6863" w:rsidRDefault="00747F6E" w:rsidP="00D10293">
      <w:pPr>
        <w:spacing w:line="360" w:lineRule="auto"/>
        <w:ind w:left="0" w:firstLine="0"/>
        <w:rPr>
          <w:b/>
          <w:bCs/>
        </w:rPr>
      </w:pPr>
    </w:p>
    <w:p w14:paraId="28DEF770" w14:textId="04BDE018" w:rsidR="00D10293" w:rsidRDefault="00D10293" w:rsidP="00D10293">
      <w:pPr>
        <w:rPr>
          <w:b/>
          <w:bCs/>
        </w:rPr>
      </w:pPr>
    </w:p>
    <w:p w14:paraId="53BB5F7C" w14:textId="2A5F6167" w:rsidR="00D10293" w:rsidRDefault="00D10293" w:rsidP="00D10293">
      <w:pPr>
        <w:rPr>
          <w:b/>
          <w:bCs/>
        </w:rPr>
      </w:pPr>
    </w:p>
    <w:p w14:paraId="181F55BF" w14:textId="269B56C7" w:rsidR="00D10293" w:rsidRDefault="00D10293" w:rsidP="00D10293">
      <w:pPr>
        <w:rPr>
          <w:b/>
          <w:bCs/>
        </w:rPr>
      </w:pPr>
    </w:p>
    <w:p w14:paraId="1A584435" w14:textId="7741AF42" w:rsidR="00D10293" w:rsidRDefault="00D10293" w:rsidP="00D10293">
      <w:pPr>
        <w:rPr>
          <w:b/>
          <w:bCs/>
        </w:rPr>
      </w:pPr>
    </w:p>
    <w:p w14:paraId="19E05452" w14:textId="51FE9632" w:rsidR="00D10293" w:rsidRDefault="00D10293" w:rsidP="00D10293">
      <w:pPr>
        <w:rPr>
          <w:b/>
          <w:bCs/>
        </w:rPr>
      </w:pPr>
    </w:p>
    <w:p w14:paraId="000DB838" w14:textId="1EC372AA" w:rsidR="00747F6E" w:rsidRPr="00747F6E" w:rsidRDefault="00747F6E" w:rsidP="00747F6E"/>
    <w:p w14:paraId="041CDCA7" w14:textId="73EA263C" w:rsidR="00747F6E" w:rsidRPr="00747F6E" w:rsidRDefault="00747F6E" w:rsidP="00747F6E"/>
    <w:p w14:paraId="3C86617D" w14:textId="00C4B6C2" w:rsidR="00747F6E" w:rsidRPr="00747F6E" w:rsidRDefault="00747F6E" w:rsidP="00747F6E"/>
    <w:p w14:paraId="3D572F3F" w14:textId="28D29AD2" w:rsidR="00747F6E" w:rsidRPr="00747F6E" w:rsidRDefault="00747F6E" w:rsidP="00747F6E"/>
    <w:p w14:paraId="5698BA71" w14:textId="5F51EA95" w:rsidR="00747F6E" w:rsidRPr="00747F6E" w:rsidRDefault="00747F6E" w:rsidP="00747F6E"/>
    <w:p w14:paraId="6A285DBE" w14:textId="48E1DCE2" w:rsidR="00747F6E" w:rsidRPr="00747F6E" w:rsidRDefault="00747F6E" w:rsidP="00747F6E"/>
    <w:p w14:paraId="27883E7F" w14:textId="34966530" w:rsidR="00747F6E" w:rsidRPr="00747F6E" w:rsidRDefault="00747F6E" w:rsidP="00747F6E"/>
    <w:p w14:paraId="131111D0" w14:textId="6F297D38" w:rsidR="00747F6E" w:rsidRPr="00747F6E" w:rsidRDefault="00747F6E" w:rsidP="00747F6E"/>
    <w:p w14:paraId="4172A61F" w14:textId="0F09C13C" w:rsidR="00747F6E" w:rsidRPr="00747F6E" w:rsidRDefault="00747F6E" w:rsidP="00747F6E"/>
    <w:p w14:paraId="679F353B" w14:textId="4D7018FB" w:rsidR="00747F6E" w:rsidRPr="00747F6E" w:rsidRDefault="00747F6E" w:rsidP="00747F6E"/>
    <w:p w14:paraId="2014A2EB" w14:textId="28D18C13" w:rsidR="00747F6E" w:rsidRPr="00747F6E" w:rsidRDefault="00747F6E" w:rsidP="00747F6E"/>
    <w:p w14:paraId="61FEEBED" w14:textId="34728E14" w:rsidR="00747F6E" w:rsidRPr="00747F6E" w:rsidRDefault="00747F6E" w:rsidP="00747F6E"/>
    <w:p w14:paraId="2430299C" w14:textId="03F69A0C" w:rsidR="00747F6E" w:rsidRPr="00747F6E" w:rsidRDefault="00747F6E" w:rsidP="00747F6E"/>
    <w:p w14:paraId="64ECADED" w14:textId="693C9482" w:rsidR="00747F6E" w:rsidRDefault="00747F6E" w:rsidP="00747F6E">
      <w:pPr>
        <w:rPr>
          <w:b/>
          <w:bCs/>
        </w:rPr>
      </w:pPr>
      <w:r>
        <w:rPr>
          <w:noProof/>
        </w:rPr>
        <w:drawing>
          <wp:anchor distT="0" distB="0" distL="114300" distR="114300" simplePos="0" relativeHeight="251661312" behindDoc="1" locked="0" layoutInCell="1" allowOverlap="1" wp14:anchorId="56D28167" wp14:editId="30F7945C">
            <wp:simplePos x="0" y="0"/>
            <wp:positionH relativeFrom="margin">
              <wp:posOffset>7619</wp:posOffset>
            </wp:positionH>
            <wp:positionV relativeFrom="paragraph">
              <wp:posOffset>-45085</wp:posOffset>
            </wp:positionV>
            <wp:extent cx="5580035" cy="4038600"/>
            <wp:effectExtent l="0" t="0" r="1905" b="0"/>
            <wp:wrapTight wrapText="bothSides">
              <wp:wrapPolygon edited="0">
                <wp:start x="0" y="0"/>
                <wp:lineTo x="0" y="21498"/>
                <wp:lineTo x="21534" y="21498"/>
                <wp:lineTo x="21534" y="0"/>
                <wp:lineTo x="0" y="0"/>
              </wp:wrapPolygon>
            </wp:wrapTight>
            <wp:docPr id="1494018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25" cy="4038810"/>
                    </a:xfrm>
                    <a:prstGeom prst="rect">
                      <a:avLst/>
                    </a:prstGeom>
                    <a:noFill/>
                  </pic:spPr>
                </pic:pic>
              </a:graphicData>
            </a:graphic>
            <wp14:sizeRelH relativeFrom="margin">
              <wp14:pctWidth>0</wp14:pctWidth>
            </wp14:sizeRelH>
            <wp14:sizeRelV relativeFrom="margin">
              <wp14:pctHeight>0</wp14:pctHeight>
            </wp14:sizeRelV>
          </wp:anchor>
        </w:drawing>
      </w:r>
    </w:p>
    <w:p w14:paraId="39D4DC0E" w14:textId="4470FC4D" w:rsidR="00747F6E" w:rsidRPr="00747F6E" w:rsidRDefault="00747F6E" w:rsidP="00747F6E"/>
    <w:p w14:paraId="7144D98A" w14:textId="41CF1CBD" w:rsidR="00D10293" w:rsidRDefault="00D10293" w:rsidP="00D10293">
      <w:pPr>
        <w:rPr>
          <w:b/>
          <w:bCs/>
          <w:noProof/>
        </w:rPr>
      </w:pPr>
    </w:p>
    <w:p w14:paraId="685A887F" w14:textId="15B43BC7" w:rsidR="00747F6E" w:rsidRPr="00747F6E" w:rsidRDefault="00747F6E" w:rsidP="00747F6E">
      <w:pPr>
        <w:ind w:left="0" w:firstLine="0"/>
      </w:pPr>
    </w:p>
    <w:p w14:paraId="6F9862C1" w14:textId="493701BD" w:rsidR="00747F6E" w:rsidRDefault="00747F6E" w:rsidP="00747F6E">
      <w:pPr>
        <w:rPr>
          <w:b/>
          <w:bCs/>
          <w:noProof/>
        </w:rPr>
      </w:pPr>
      <w:r>
        <w:rPr>
          <w:b/>
          <w:bCs/>
          <w:noProof/>
        </w:rPr>
        <w:lastRenderedPageBreak/>
        <w:t>PLOT 3</w:t>
      </w:r>
    </w:p>
    <w:p w14:paraId="6FC7DE41" w14:textId="29393175" w:rsidR="00747F6E" w:rsidRPr="00747F6E" w:rsidRDefault="006D628B" w:rsidP="006D628B">
      <w:pPr>
        <w:ind w:left="0" w:firstLine="0"/>
      </w:pPr>
      <w:r>
        <w:rPr>
          <w:b/>
          <w:bCs/>
          <w:noProof/>
        </w:rPr>
        <w:drawing>
          <wp:anchor distT="0" distB="0" distL="114300" distR="114300" simplePos="0" relativeHeight="251662336" behindDoc="0" locked="0" layoutInCell="1" allowOverlap="1" wp14:anchorId="6B83DAE3" wp14:editId="7DFDB05B">
            <wp:simplePos x="0" y="0"/>
            <wp:positionH relativeFrom="column">
              <wp:posOffset>-83821</wp:posOffset>
            </wp:positionH>
            <wp:positionV relativeFrom="paragraph">
              <wp:posOffset>3633470</wp:posOffset>
            </wp:positionV>
            <wp:extent cx="3669617" cy="4610100"/>
            <wp:effectExtent l="0" t="0" r="7620" b="0"/>
            <wp:wrapNone/>
            <wp:docPr id="20221332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33234"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1664" cy="4625234"/>
                    </a:xfrm>
                    <a:prstGeom prst="rect">
                      <a:avLst/>
                    </a:prstGeom>
                  </pic:spPr>
                </pic:pic>
              </a:graphicData>
            </a:graphic>
            <wp14:sizeRelH relativeFrom="margin">
              <wp14:pctWidth>0</wp14:pctWidth>
            </wp14:sizeRelH>
            <wp14:sizeRelV relativeFrom="margin">
              <wp14:pctHeight>0</wp14:pctHeight>
            </wp14:sizeRelV>
          </wp:anchor>
        </w:drawing>
      </w:r>
      <w:r w:rsidR="00747F6E">
        <w:rPr>
          <w:noProof/>
        </w:rPr>
        <w:drawing>
          <wp:inline distT="0" distB="0" distL="0" distR="0" wp14:anchorId="47D174C7" wp14:editId="429E04CA">
            <wp:extent cx="5944235" cy="3377565"/>
            <wp:effectExtent l="0" t="0" r="0" b="0"/>
            <wp:docPr id="950010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377565"/>
                    </a:xfrm>
                    <a:prstGeom prst="rect">
                      <a:avLst/>
                    </a:prstGeom>
                    <a:noFill/>
                  </pic:spPr>
                </pic:pic>
              </a:graphicData>
            </a:graphic>
          </wp:inline>
        </w:drawing>
      </w:r>
      <w:r w:rsidRPr="006D628B">
        <w:rPr>
          <w:b/>
          <w:bCs/>
        </w:rPr>
        <w:t>TABLE 3</w:t>
      </w:r>
    </w:p>
    <w:sectPr w:rsidR="00747F6E" w:rsidRPr="00747F6E">
      <w:pgSz w:w="12240" w:h="15840"/>
      <w:pgMar w:top="1493" w:right="1441" w:bottom="162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90741" w14:textId="77777777" w:rsidR="0017716A" w:rsidRDefault="0017716A" w:rsidP="00D83C0B">
      <w:pPr>
        <w:spacing w:line="240" w:lineRule="auto"/>
      </w:pPr>
      <w:r>
        <w:separator/>
      </w:r>
    </w:p>
  </w:endnote>
  <w:endnote w:type="continuationSeparator" w:id="0">
    <w:p w14:paraId="7D7B9D62" w14:textId="77777777" w:rsidR="0017716A" w:rsidRDefault="0017716A" w:rsidP="00D83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2D727" w14:textId="77777777" w:rsidR="0017716A" w:rsidRDefault="0017716A" w:rsidP="00D83C0B">
      <w:pPr>
        <w:spacing w:line="240" w:lineRule="auto"/>
      </w:pPr>
      <w:r>
        <w:separator/>
      </w:r>
    </w:p>
  </w:footnote>
  <w:footnote w:type="continuationSeparator" w:id="0">
    <w:p w14:paraId="22E72982" w14:textId="77777777" w:rsidR="0017716A" w:rsidRDefault="0017716A" w:rsidP="00D83C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4BF"/>
    <w:rsid w:val="00077C07"/>
    <w:rsid w:val="000D09C7"/>
    <w:rsid w:val="0017716A"/>
    <w:rsid w:val="0019274E"/>
    <w:rsid w:val="00325B95"/>
    <w:rsid w:val="003F6ACA"/>
    <w:rsid w:val="003F7775"/>
    <w:rsid w:val="004C218C"/>
    <w:rsid w:val="005530A7"/>
    <w:rsid w:val="006D628B"/>
    <w:rsid w:val="00747F6E"/>
    <w:rsid w:val="007E1562"/>
    <w:rsid w:val="00877684"/>
    <w:rsid w:val="008874BF"/>
    <w:rsid w:val="008C1DEC"/>
    <w:rsid w:val="008D5FE6"/>
    <w:rsid w:val="00925120"/>
    <w:rsid w:val="00926B22"/>
    <w:rsid w:val="00971480"/>
    <w:rsid w:val="00A8418A"/>
    <w:rsid w:val="00AE6863"/>
    <w:rsid w:val="00B61AD0"/>
    <w:rsid w:val="00B84687"/>
    <w:rsid w:val="00C24550"/>
    <w:rsid w:val="00C6388E"/>
    <w:rsid w:val="00C77F57"/>
    <w:rsid w:val="00CE5702"/>
    <w:rsid w:val="00D10293"/>
    <w:rsid w:val="00D83C0B"/>
    <w:rsid w:val="00E730BC"/>
    <w:rsid w:val="00EB791E"/>
    <w:rsid w:val="00FC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AA5C"/>
  <w15:docId w15:val="{952B5E0F-457B-4376-ABE6-C8B21A78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61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B61AD0"/>
    <w:pPr>
      <w:pBdr>
        <w:top w:val="nil"/>
        <w:left w:val="nil"/>
        <w:bottom w:val="nil"/>
        <w:right w:val="nil"/>
        <w:between w:val="nil"/>
      </w:pBdr>
      <w:spacing w:after="0" w:line="240" w:lineRule="auto"/>
    </w:pPr>
    <w:rPr>
      <w:rFonts w:ascii="Arial" w:eastAsia="Arial" w:hAnsi="Arial" w:cs="Arial"/>
      <w:color w:val="000000"/>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3C0B"/>
    <w:pPr>
      <w:tabs>
        <w:tab w:val="center" w:pos="4680"/>
        <w:tab w:val="right" w:pos="9360"/>
      </w:tabs>
      <w:spacing w:line="240" w:lineRule="auto"/>
    </w:pPr>
  </w:style>
  <w:style w:type="character" w:customStyle="1" w:styleId="HeaderChar">
    <w:name w:val="Header Char"/>
    <w:basedOn w:val="DefaultParagraphFont"/>
    <w:link w:val="Header"/>
    <w:uiPriority w:val="99"/>
    <w:rsid w:val="00D83C0B"/>
    <w:rPr>
      <w:rFonts w:ascii="Times New Roman" w:eastAsia="Times New Roman" w:hAnsi="Times New Roman" w:cs="Times New Roman"/>
      <w:color w:val="000000"/>
      <w:sz w:val="22"/>
    </w:rPr>
  </w:style>
  <w:style w:type="paragraph" w:styleId="Footer">
    <w:name w:val="footer"/>
    <w:basedOn w:val="Normal"/>
    <w:link w:val="FooterChar"/>
    <w:uiPriority w:val="99"/>
    <w:unhideWhenUsed/>
    <w:rsid w:val="00D83C0B"/>
    <w:pPr>
      <w:tabs>
        <w:tab w:val="center" w:pos="4680"/>
        <w:tab w:val="right" w:pos="9360"/>
      </w:tabs>
      <w:spacing w:line="240" w:lineRule="auto"/>
    </w:pPr>
  </w:style>
  <w:style w:type="character" w:customStyle="1" w:styleId="FooterChar">
    <w:name w:val="Footer Char"/>
    <w:basedOn w:val="DefaultParagraphFont"/>
    <w:link w:val="Footer"/>
    <w:uiPriority w:val="99"/>
    <w:rsid w:val="00D83C0B"/>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0649">
      <w:bodyDiv w:val="1"/>
      <w:marLeft w:val="0"/>
      <w:marRight w:val="0"/>
      <w:marTop w:val="0"/>
      <w:marBottom w:val="0"/>
      <w:divBdr>
        <w:top w:val="none" w:sz="0" w:space="0" w:color="auto"/>
        <w:left w:val="none" w:sz="0" w:space="0" w:color="auto"/>
        <w:bottom w:val="none" w:sz="0" w:space="0" w:color="auto"/>
        <w:right w:val="none" w:sz="0" w:space="0" w:color="auto"/>
      </w:divBdr>
    </w:div>
    <w:div w:id="566570959">
      <w:bodyDiv w:val="1"/>
      <w:marLeft w:val="0"/>
      <w:marRight w:val="0"/>
      <w:marTop w:val="0"/>
      <w:marBottom w:val="0"/>
      <w:divBdr>
        <w:top w:val="none" w:sz="0" w:space="0" w:color="auto"/>
        <w:left w:val="none" w:sz="0" w:space="0" w:color="auto"/>
        <w:bottom w:val="none" w:sz="0" w:space="0" w:color="auto"/>
        <w:right w:val="none" w:sz="0" w:space="0" w:color="auto"/>
      </w:divBdr>
    </w:div>
    <w:div w:id="709494276">
      <w:bodyDiv w:val="1"/>
      <w:marLeft w:val="0"/>
      <w:marRight w:val="0"/>
      <w:marTop w:val="0"/>
      <w:marBottom w:val="0"/>
      <w:divBdr>
        <w:top w:val="none" w:sz="0" w:space="0" w:color="auto"/>
        <w:left w:val="none" w:sz="0" w:space="0" w:color="auto"/>
        <w:bottom w:val="none" w:sz="0" w:space="0" w:color="auto"/>
        <w:right w:val="none" w:sz="0" w:space="0" w:color="auto"/>
      </w:divBdr>
    </w:div>
    <w:div w:id="948783504">
      <w:bodyDiv w:val="1"/>
      <w:marLeft w:val="0"/>
      <w:marRight w:val="0"/>
      <w:marTop w:val="0"/>
      <w:marBottom w:val="0"/>
      <w:divBdr>
        <w:top w:val="none" w:sz="0" w:space="0" w:color="auto"/>
        <w:left w:val="none" w:sz="0" w:space="0" w:color="auto"/>
        <w:bottom w:val="none" w:sz="0" w:space="0" w:color="auto"/>
        <w:right w:val="none" w:sz="0" w:space="0" w:color="auto"/>
      </w:divBdr>
    </w:div>
    <w:div w:id="1135220910">
      <w:bodyDiv w:val="1"/>
      <w:marLeft w:val="0"/>
      <w:marRight w:val="0"/>
      <w:marTop w:val="0"/>
      <w:marBottom w:val="0"/>
      <w:divBdr>
        <w:top w:val="none" w:sz="0" w:space="0" w:color="auto"/>
        <w:left w:val="none" w:sz="0" w:space="0" w:color="auto"/>
        <w:bottom w:val="none" w:sz="0" w:space="0" w:color="auto"/>
        <w:right w:val="none" w:sz="0" w:space="0" w:color="auto"/>
      </w:divBdr>
    </w:div>
    <w:div w:id="180384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Tazvitya Chihota</dc:creator>
  <cp:keywords/>
  <cp:lastModifiedBy>Tazvitya Chihota</cp:lastModifiedBy>
  <cp:revision>8</cp:revision>
  <dcterms:created xsi:type="dcterms:W3CDTF">2024-10-13T17:23:00Z</dcterms:created>
  <dcterms:modified xsi:type="dcterms:W3CDTF">2024-10-15T02:51:00Z</dcterms:modified>
</cp:coreProperties>
</file>