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8"/>
        </w:rPr>
        <w:t>Respaldo de Valoración del Sistema</w:t>
      </w:r>
    </w:p>
    <w:p>
      <w:pPr>
        <w:spacing w:after="280"/>
        <w:jc w:val="center"/>
      </w:pPr>
      <w:r>
        <w:rPr>
          <w:rFonts w:ascii="Calibri" w:hAnsi="Calibri"/>
          <w:color w:val="555555"/>
          <w:sz w:val="24"/>
        </w:rPr>
        <w:t>Sistema web de cotizaciones, ventas, inventario y pantalla cliente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
              <w:rPr>
                <w:rFonts w:ascii="Calibri" w:hAnsi="Calibri"/>
                <w:b/>
                <w:color w:val="0B2545"/>
                <w:sz w:val="21"/>
              </w:rPr>
              <w:t>Objeto</w:t>
            </w:r>
          </w:p>
        </w:tc>
        <w:tc>
          <w:tcPr>
            <w:tcW w:type="dxa" w:w="6660"/>
            <w:tcMar>
              <w:top w:w="80" w:type="dxa"/>
              <w:start w:w="120" w:type="dxa"/>
              <w:bottom w:w="80" w:type="dxa"/>
              <w:end w:w="120" w:type="dxa"/>
            </w:tcMar>
            <w:vAlign w:val="center"/>
          </w:tcPr>
          <w:p>
            <w:pPr>
              <w:spacing w:after="0"/>
            </w:pPr>
            <w:r/>
            <w:r>
              <w:rPr>
                <w:rFonts w:ascii="Calibri" w:hAnsi="Calibri"/>
                <w:b w:val="0"/>
                <w:sz w:val="21"/>
              </w:rPr>
              <w:t>Sistema operativo para gestión comercial de ferretería: catálogo, clientes, cotizaciones, ventas, inventario, dashboard y pantalla cliente.</w:t>
            </w:r>
          </w:p>
        </w:tc>
      </w:tr>
      <w:tr>
        <w:tc>
          <w:tcPr>
            <w:tcW w:type="dxa" w:w="2700"/>
            <w:tcMar>
              <w:top w:w="80" w:type="dxa"/>
              <w:start w:w="120" w:type="dxa"/>
              <w:bottom w:w="80" w:type="dxa"/>
              <w:end w:w="120" w:type="dxa"/>
            </w:tcMar>
            <w:vAlign w:val="center"/>
            <w:shd w:fill="E8EEF5"/>
          </w:tcPr>
          <w:p>
            <w:pPr>
              <w:spacing w:after="0"/>
            </w:pPr>
            <w:r/>
            <w:r>
              <w:rPr>
                <w:rFonts w:ascii="Calibri" w:hAnsi="Calibri"/>
                <w:b/>
                <w:color w:val="0B2545"/>
                <w:sz w:val="21"/>
              </w:rPr>
              <w:t>Valor respaldado</w:t>
            </w:r>
          </w:p>
        </w:tc>
        <w:tc>
          <w:tcPr>
            <w:tcW w:type="dxa" w:w="6660"/>
            <w:tcMar>
              <w:top w:w="80" w:type="dxa"/>
              <w:start w:w="120" w:type="dxa"/>
              <w:bottom w:w="80" w:type="dxa"/>
              <w:end w:w="120" w:type="dxa"/>
            </w:tcMar>
            <w:vAlign w:val="center"/>
          </w:tcPr>
          <w:p>
            <w:pPr>
              <w:spacing w:after="0"/>
            </w:pPr>
            <w:r/>
            <w:r>
              <w:rPr>
                <w:rFonts w:ascii="Calibri" w:hAnsi="Calibri"/>
                <w:b w:val="0"/>
                <w:sz w:val="21"/>
              </w:rPr>
              <w:t>$1.500.000 CLP</w:t>
            </w:r>
          </w:p>
        </w:tc>
      </w:tr>
      <w:tr>
        <w:tc>
          <w:tcPr>
            <w:tcW w:type="dxa" w:w="2700"/>
            <w:tcMar>
              <w:top w:w="80" w:type="dxa"/>
              <w:start w:w="120" w:type="dxa"/>
              <w:bottom w:w="80" w:type="dxa"/>
              <w:end w:w="120" w:type="dxa"/>
            </w:tcMar>
            <w:vAlign w:val="center"/>
            <w:shd w:fill="E8EEF5"/>
          </w:tcPr>
          <w:p>
            <w:pPr>
              <w:spacing w:after="0"/>
            </w:pPr>
            <w:r/>
            <w:r>
              <w:rPr>
                <w:rFonts w:ascii="Calibri" w:hAnsi="Calibri"/>
                <w:b/>
                <w:color w:val="0B2545"/>
                <w:sz w:val="21"/>
              </w:rPr>
              <w:t>Base de cálculo</w:t>
            </w:r>
          </w:p>
        </w:tc>
        <w:tc>
          <w:tcPr>
            <w:tcW w:type="dxa" w:w="6660"/>
            <w:tcMar>
              <w:top w:w="80" w:type="dxa"/>
              <w:start w:w="120" w:type="dxa"/>
              <w:bottom w:w="80" w:type="dxa"/>
              <w:end w:w="120" w:type="dxa"/>
            </w:tcMar>
            <w:vAlign w:val="center"/>
          </w:tcPr>
          <w:p>
            <w:pPr>
              <w:spacing w:after="0"/>
            </w:pPr>
            <w:r/>
            <w:r>
              <w:rPr>
                <w:rFonts w:ascii="Calibri" w:hAnsi="Calibri"/>
                <w:b w:val="0"/>
                <w:sz w:val="21"/>
              </w:rPr>
              <w:t>Horas estimadas de desarrollo multiplicadas por tarifa freelance local Junior-Mid.</w:t>
            </w:r>
          </w:p>
        </w:tc>
      </w:tr>
      <w:tr>
        <w:tc>
          <w:tcPr>
            <w:tcW w:type="dxa" w:w="2700"/>
            <w:tcMar>
              <w:top w:w="80" w:type="dxa"/>
              <w:start w:w="120" w:type="dxa"/>
              <w:bottom w:w="80" w:type="dxa"/>
              <w:end w:w="120" w:type="dxa"/>
            </w:tcMar>
            <w:vAlign w:val="center"/>
            <w:shd w:fill="E8EEF5"/>
          </w:tcPr>
          <w:p>
            <w:pPr>
              <w:spacing w:after="0"/>
            </w:pPr>
            <w:r/>
            <w:r>
              <w:rPr>
                <w:rFonts w:ascii="Calibri" w:hAnsi="Calibri"/>
                <w:b/>
                <w:color w:val="0B2545"/>
                <w:sz w:val="21"/>
              </w:rPr>
              <w:t>Criterio</w:t>
            </w:r>
          </w:p>
        </w:tc>
        <w:tc>
          <w:tcPr>
            <w:tcW w:type="dxa" w:w="6660"/>
            <w:tcMar>
              <w:top w:w="80" w:type="dxa"/>
              <w:start w:w="120" w:type="dxa"/>
              <w:bottom w:w="80" w:type="dxa"/>
              <w:end w:w="120" w:type="dxa"/>
            </w:tcMar>
            <w:vAlign w:val="center"/>
          </w:tcPr>
          <w:p>
            <w:pPr>
              <w:spacing w:after="0"/>
            </w:pPr>
            <w:r/>
            <w:r>
              <w:rPr>
                <w:rFonts w:ascii="Calibri" w:hAnsi="Calibri"/>
                <w:b w:val="0"/>
                <w:sz w:val="21"/>
              </w:rPr>
              <w:t>El monto propuesto se ubica por debajo del rango económico de mercado resultante, por lo que corresponde a un valor conservador de cierre.</w:t>
            </w:r>
          </w:p>
        </w:tc>
      </w:tr>
    </w:tbl>
    <w:p>
      <w:pPr>
        <w:pStyle w:val="Heading1"/>
      </w:pPr>
      <w:r>
        <w:t>1. Alcance funcional evaluado</w:t>
      </w:r>
    </w:p>
    <w:p>
      <w:r>
        <w:t>El sistema evaluado corresponde a una aplicación web full-stack con frontend React, backend Node.js/Express, base de datos SQLite mediante Sequelize y comunicación en tiempo real por Socket.io. La solución no se limita a una maqueta visual: implementa reglas comerciales, persistencia de datos, validaciones, flujos de venta y trazabilidad de inventario.</w:t>
      </w:r>
    </w:p>
    <w:p>
      <w:pPr>
        <w:pStyle w:val="ListBullet"/>
      </w:pPr>
      <w:r>
        <w:t>Administración de productos, precios, stock, categorías y estado activo/inactivo.</w:t>
      </w:r>
    </w:p>
    <w:p>
      <w:pPr>
        <w:pStyle w:val="ListBullet"/>
      </w:pPr>
      <w:r>
        <w:t>Gestión de clientes e historial comercial asociado.</w:t>
      </w:r>
    </w:p>
    <w:p>
      <w:pPr>
        <w:pStyle w:val="ListBullet"/>
      </w:pPr>
      <w:r>
        <w:t>Armado de cotizaciones, confirmación de ventas y anulación con devolución de stock.</w:t>
      </w:r>
    </w:p>
    <w:p>
      <w:pPr>
        <w:pStyle w:val="ListBullet"/>
      </w:pPr>
      <w:r>
        <w:t>Registro de movimientos de inventario por abastecimiento, ajuste, venta y anulación.</w:t>
      </w:r>
    </w:p>
    <w:p>
      <w:pPr>
        <w:pStyle w:val="ListBullet"/>
      </w:pPr>
      <w:r>
        <w:t>Dashboard analítico con ventas, ticket promedio, conversión, productos destacados y horarios de actividad.</w:t>
      </w:r>
    </w:p>
    <w:p>
      <w:pPr>
        <w:pStyle w:val="ListBullet"/>
      </w:pPr>
      <w:r>
        <w:t>Pantalla cliente en tiempo real y vista imprimible para generar PDF desde navegador.</w:t>
      </w:r>
    </w:p>
    <w:p>
      <w:pPr>
        <w:pStyle w:val="Heading1"/>
      </w:pPr>
      <w:r>
        <w:t>2. Horas estimadas de desarrollo</w:t>
      </w:r>
    </w:p>
    <w:tbl>
      <w:tblPr>
        <w:tblStyle w:val="TableGrid"/>
        <w:tblW w:type="dxa" w:w="9360"/>
        <w:jc w:val="left"/>
        <w:tblLayout w:type="fixed"/>
        <w:tblLook w:firstColumn="1" w:firstRow="1" w:lastColumn="0" w:lastRow="0" w:noHBand="0" w:noVBand="1" w:val="04A0"/>
        <w:tblInd w:w="120" w:type="dxa"/>
      </w:tblPr>
      <w:tblGrid>
        <w:gridCol w:w="4700"/>
        <w:gridCol w:w="1900"/>
        <w:gridCol w:w="2760"/>
      </w:tblGrid>
      <w:tr>
        <w:tc>
          <w:tcPr>
            <w:tcW w:type="dxa" w:w="4700"/>
            <w:tcMar>
              <w:top w:w="80" w:type="dxa"/>
              <w:start w:w="120" w:type="dxa"/>
              <w:bottom w:w="80" w:type="dxa"/>
              <w:end w:w="120" w:type="dxa"/>
            </w:tcMar>
            <w:vAlign w:val="center"/>
            <w:shd w:fill="1F4D78"/>
          </w:tcPr>
          <w:p>
            <w:pPr>
              <w:spacing w:after="0"/>
            </w:pPr>
            <w:r/>
            <w:r>
              <w:rPr>
                <w:rFonts w:ascii="Calibri" w:hAnsi="Calibri"/>
                <w:b/>
                <w:color w:val="FFFFFF"/>
                <w:sz w:val="21"/>
              </w:rPr>
              <w:t>Módulo / Componente</w:t>
            </w:r>
          </w:p>
        </w:tc>
        <w:tc>
          <w:tcPr>
            <w:tcW w:type="dxa" w:w="1900"/>
            <w:tcMar>
              <w:top w:w="80" w:type="dxa"/>
              <w:start w:w="120" w:type="dxa"/>
              <w:bottom w:w="80" w:type="dxa"/>
              <w:end w:w="120" w:type="dxa"/>
            </w:tcMar>
            <w:vAlign w:val="center"/>
            <w:shd w:fill="1F4D78"/>
          </w:tcPr>
          <w:p>
            <w:pPr>
              <w:spacing w:after="0"/>
            </w:pPr>
            <w:r/>
            <w:r>
              <w:rPr>
                <w:rFonts w:ascii="Calibri" w:hAnsi="Calibri"/>
                <w:b/>
                <w:color w:val="FFFFFF"/>
                <w:sz w:val="21"/>
              </w:rPr>
              <w:t>Horas aprox.</w:t>
            </w:r>
          </w:p>
        </w:tc>
        <w:tc>
          <w:tcPr>
            <w:tcW w:type="dxa" w:w="2760"/>
            <w:tcMar>
              <w:top w:w="80" w:type="dxa"/>
              <w:start w:w="120" w:type="dxa"/>
              <w:bottom w:w="80" w:type="dxa"/>
              <w:end w:w="120" w:type="dxa"/>
            </w:tcMar>
            <w:vAlign w:val="center"/>
            <w:shd w:fill="1F4D78"/>
          </w:tcPr>
          <w:p>
            <w:pPr>
              <w:spacing w:after="0"/>
            </w:pPr>
            <w:r/>
            <w:r>
              <w:rPr>
                <w:rFonts w:ascii="Calibri" w:hAnsi="Calibri"/>
                <w:b/>
                <w:color w:val="FFFFFF"/>
                <w:sz w:val="21"/>
              </w:rPr>
              <w:t>Observación técnica</w:t>
            </w:r>
          </w:p>
        </w:tc>
      </w:tr>
      <w:tr>
        <w:tc>
          <w:tcPr>
            <w:tcW w:type="dxa" w:w="4700"/>
            <w:vAlign w:val="center"/>
          </w:tcPr>
          <w:p>
            <w:pPr>
              <w:spacing w:after="0"/>
            </w:pPr>
            <w:r/>
            <w:r>
              <w:rPr>
                <w:rFonts w:ascii="Calibri" w:hAnsi="Calibri"/>
                <w:b w:val="0"/>
                <w:sz w:val="21"/>
              </w:rPr>
              <w:t>Backend (API REST, modelos, lógica de negocio)</w:t>
            </w:r>
          </w:p>
        </w:tc>
        <w:tc>
          <w:tcPr>
            <w:tcW w:type="dxa" w:w="1900"/>
            <w:vAlign w:val="center"/>
          </w:tcPr>
          <w:p>
            <w:pPr>
              <w:spacing w:after="0"/>
            </w:pPr>
            <w:r/>
            <w:r>
              <w:rPr>
                <w:rFonts w:ascii="Calibri" w:hAnsi="Calibri"/>
                <w:b w:val="0"/>
                <w:sz w:val="21"/>
              </w:rPr>
              <w:t>35-45 hrs</w:t>
            </w:r>
          </w:p>
        </w:tc>
        <w:tc>
          <w:tcPr>
            <w:tcW w:type="dxa" w:w="2760"/>
            <w:vAlign w:val="center"/>
          </w:tcPr>
          <w:p>
            <w:pPr>
              <w:spacing w:after="0"/>
            </w:pPr>
            <w:r/>
            <w:r>
              <w:rPr>
                <w:rFonts w:ascii="Calibri" w:hAnsi="Calibri"/>
                <w:b w:val="0"/>
                <w:sz w:val="21"/>
              </w:rPr>
              <w:t>Rutas, controladores, modelos, relaciones, validaciones y transacciones.</w:t>
            </w:r>
          </w:p>
        </w:tc>
      </w:tr>
      <w:tr>
        <w:tc>
          <w:tcPr>
            <w:tcW w:type="dxa" w:w="4700"/>
            <w:vAlign w:val="center"/>
          </w:tcPr>
          <w:p>
            <w:pPr>
              <w:spacing w:after="0"/>
            </w:pPr>
            <w:r/>
            <w:r>
              <w:rPr>
                <w:rFonts w:ascii="Calibri" w:hAnsi="Calibri"/>
                <w:b w:val="0"/>
                <w:sz w:val="21"/>
              </w:rPr>
              <w:t>Frontend React (todas las vistas)</w:t>
            </w:r>
          </w:p>
        </w:tc>
        <w:tc>
          <w:tcPr>
            <w:tcW w:type="dxa" w:w="1900"/>
            <w:vAlign w:val="center"/>
          </w:tcPr>
          <w:p>
            <w:pPr>
              <w:spacing w:after="0"/>
            </w:pPr>
            <w:r/>
            <w:r>
              <w:rPr>
                <w:rFonts w:ascii="Calibri" w:hAnsi="Calibri"/>
                <w:b w:val="0"/>
                <w:sz w:val="21"/>
              </w:rPr>
              <w:t>40-55 hrs</w:t>
            </w:r>
          </w:p>
        </w:tc>
        <w:tc>
          <w:tcPr>
            <w:tcW w:type="dxa" w:w="2760"/>
            <w:vAlign w:val="center"/>
          </w:tcPr>
          <w:p>
            <w:pPr>
              <w:spacing w:after="0"/>
            </w:pPr>
            <w:r/>
            <w:r>
              <w:rPr>
                <w:rFonts w:ascii="Calibri" w:hAnsi="Calibri"/>
                <w:b w:val="0"/>
                <w:sz w:val="21"/>
              </w:rPr>
              <w:t>Dashboard, productos, clientes, inventario, venta, layout y componentes reutilizables.</w:t>
            </w:r>
          </w:p>
        </w:tc>
      </w:tr>
      <w:tr>
        <w:tc>
          <w:tcPr>
            <w:tcW w:type="dxa" w:w="4700"/>
            <w:vAlign w:val="center"/>
          </w:tcPr>
          <w:p>
            <w:pPr>
              <w:spacing w:after="0"/>
            </w:pPr>
            <w:r/>
            <w:r>
              <w:rPr>
                <w:rFonts w:ascii="Calibri" w:hAnsi="Calibri"/>
                <w:b w:val="0"/>
                <w:sz w:val="21"/>
              </w:rPr>
              <w:t>Socket.io (pantalla cliente)</w:t>
            </w:r>
          </w:p>
        </w:tc>
        <w:tc>
          <w:tcPr>
            <w:tcW w:type="dxa" w:w="1900"/>
            <w:vAlign w:val="center"/>
          </w:tcPr>
          <w:p>
            <w:pPr>
              <w:spacing w:after="0"/>
            </w:pPr>
            <w:r/>
            <w:r>
              <w:rPr>
                <w:rFonts w:ascii="Calibri" w:hAnsi="Calibri"/>
                <w:b w:val="0"/>
                <w:sz w:val="21"/>
              </w:rPr>
              <w:t>8-12 hrs</w:t>
            </w:r>
          </w:p>
        </w:tc>
        <w:tc>
          <w:tcPr>
            <w:tcW w:type="dxa" w:w="2760"/>
            <w:vAlign w:val="center"/>
          </w:tcPr>
          <w:p>
            <w:pPr>
              <w:spacing w:after="0"/>
            </w:pPr>
            <w:r/>
            <w:r>
              <w:rPr>
                <w:rFonts w:ascii="Calibri" w:hAnsi="Calibri"/>
                <w:b w:val="0"/>
                <w:sz w:val="21"/>
              </w:rPr>
              <w:t>Sincronización en vivo entre panel vendedor y pantalla de cliente.</w:t>
            </w:r>
          </w:p>
        </w:tc>
      </w:tr>
      <w:tr>
        <w:tc>
          <w:tcPr>
            <w:tcW w:type="dxa" w:w="4700"/>
            <w:vAlign w:val="center"/>
          </w:tcPr>
          <w:p>
            <w:pPr>
              <w:spacing w:after="0"/>
            </w:pPr>
            <w:r/>
            <w:r>
              <w:rPr>
                <w:rFonts w:ascii="Calibri" w:hAnsi="Calibri"/>
                <w:b w:val="0"/>
                <w:sz w:val="21"/>
              </w:rPr>
              <w:t>Dashboard analítico</w:t>
            </w:r>
          </w:p>
        </w:tc>
        <w:tc>
          <w:tcPr>
            <w:tcW w:type="dxa" w:w="1900"/>
            <w:vAlign w:val="center"/>
          </w:tcPr>
          <w:p>
            <w:pPr>
              <w:spacing w:after="0"/>
            </w:pPr>
            <w:r/>
            <w:r>
              <w:rPr>
                <w:rFonts w:ascii="Calibri" w:hAnsi="Calibri"/>
                <w:b w:val="0"/>
                <w:sz w:val="21"/>
              </w:rPr>
              <w:t>10-15 hrs</w:t>
            </w:r>
          </w:p>
        </w:tc>
        <w:tc>
          <w:tcPr>
            <w:tcW w:type="dxa" w:w="2760"/>
            <w:vAlign w:val="center"/>
          </w:tcPr>
          <w:p>
            <w:pPr>
              <w:spacing w:after="0"/>
            </w:pPr>
            <w:r/>
            <w:r>
              <w:rPr>
                <w:rFonts w:ascii="Calibri" w:hAnsi="Calibri"/>
                <w:b w:val="0"/>
                <w:sz w:val="21"/>
              </w:rPr>
              <w:t>Cálculo de indicadores, rankings, horarios peak y visualizaciones.</w:t>
            </w:r>
          </w:p>
        </w:tc>
      </w:tr>
      <w:tr>
        <w:tc>
          <w:tcPr>
            <w:tcW w:type="dxa" w:w="4700"/>
            <w:vAlign w:val="center"/>
          </w:tcPr>
          <w:p>
            <w:pPr>
              <w:spacing w:after="0"/>
            </w:pPr>
            <w:r/>
            <w:r>
              <w:rPr>
                <w:rFonts w:ascii="Calibri" w:hAnsi="Calibri"/>
                <w:b w:val="0"/>
                <w:sz w:val="21"/>
              </w:rPr>
              <w:t>Módulo inventario con trazabilidad</w:t>
            </w:r>
          </w:p>
        </w:tc>
        <w:tc>
          <w:tcPr>
            <w:tcW w:type="dxa" w:w="1900"/>
            <w:vAlign w:val="center"/>
          </w:tcPr>
          <w:p>
            <w:pPr>
              <w:spacing w:after="0"/>
            </w:pPr>
            <w:r/>
            <w:r>
              <w:rPr>
                <w:rFonts w:ascii="Calibri" w:hAnsi="Calibri"/>
                <w:b w:val="0"/>
                <w:sz w:val="21"/>
              </w:rPr>
              <w:t>10-14 hrs</w:t>
            </w:r>
          </w:p>
        </w:tc>
        <w:tc>
          <w:tcPr>
            <w:tcW w:type="dxa" w:w="2760"/>
            <w:vAlign w:val="center"/>
          </w:tcPr>
          <w:p>
            <w:pPr>
              <w:spacing w:after="0"/>
            </w:pPr>
            <w:r/>
            <w:r>
              <w:rPr>
                <w:rFonts w:ascii="Calibri" w:hAnsi="Calibri"/>
                <w:b w:val="0"/>
                <w:sz w:val="21"/>
              </w:rPr>
              <w:t>Movimientos manuales y automáticos con historial consultable.</w:t>
            </w:r>
          </w:p>
        </w:tc>
      </w:tr>
      <w:tr>
        <w:tc>
          <w:tcPr>
            <w:tcW w:type="dxa" w:w="4700"/>
            <w:vAlign w:val="center"/>
          </w:tcPr>
          <w:p>
            <w:pPr>
              <w:spacing w:after="0"/>
            </w:pPr>
            <w:r/>
            <w:r>
              <w:rPr>
                <w:rFonts w:ascii="Calibri" w:hAnsi="Calibri"/>
                <w:b w:val="0"/>
                <w:sz w:val="21"/>
              </w:rPr>
              <w:t>Vista imprimible / PDF</w:t>
            </w:r>
          </w:p>
        </w:tc>
        <w:tc>
          <w:tcPr>
            <w:tcW w:type="dxa" w:w="1900"/>
            <w:vAlign w:val="center"/>
          </w:tcPr>
          <w:p>
            <w:pPr>
              <w:spacing w:after="0"/>
            </w:pPr>
            <w:r/>
            <w:r>
              <w:rPr>
                <w:rFonts w:ascii="Calibri" w:hAnsi="Calibri"/>
                <w:b w:val="0"/>
                <w:sz w:val="21"/>
              </w:rPr>
              <w:t>4-6 hrs</w:t>
            </w:r>
          </w:p>
        </w:tc>
        <w:tc>
          <w:tcPr>
            <w:tcW w:type="dxa" w:w="2760"/>
            <w:vAlign w:val="center"/>
          </w:tcPr>
          <w:p>
            <w:pPr>
              <w:spacing w:after="0"/>
            </w:pPr>
            <w:r/>
            <w:r>
              <w:rPr>
                <w:rFonts w:ascii="Calibri" w:hAnsi="Calibri"/>
                <w:b w:val="0"/>
                <w:sz w:val="21"/>
              </w:rPr>
              <w:t>Formato de cotización listo para impresión o exportación PDF.</w:t>
            </w:r>
          </w:p>
        </w:tc>
      </w:tr>
      <w:tr>
        <w:tc>
          <w:tcPr>
            <w:tcW w:type="dxa" w:w="4700"/>
            <w:vAlign w:val="center"/>
          </w:tcPr>
          <w:p>
            <w:pPr>
              <w:spacing w:after="0"/>
            </w:pPr>
            <w:r/>
            <w:r>
              <w:rPr>
                <w:rFonts w:ascii="Calibri" w:hAnsi="Calibri"/>
                <w:b w:val="0"/>
                <w:sz w:val="21"/>
              </w:rPr>
              <w:t>Config PM2, estructura proyecto, detalles</w:t>
            </w:r>
          </w:p>
        </w:tc>
        <w:tc>
          <w:tcPr>
            <w:tcW w:type="dxa" w:w="1900"/>
            <w:vAlign w:val="center"/>
          </w:tcPr>
          <w:p>
            <w:pPr>
              <w:spacing w:after="0"/>
            </w:pPr>
            <w:r/>
            <w:r>
              <w:rPr>
                <w:rFonts w:ascii="Calibri" w:hAnsi="Calibri"/>
                <w:b w:val="0"/>
                <w:sz w:val="21"/>
              </w:rPr>
              <w:t>5-8 hrs</w:t>
            </w:r>
          </w:p>
        </w:tc>
        <w:tc>
          <w:tcPr>
            <w:tcW w:type="dxa" w:w="2760"/>
            <w:vAlign w:val="center"/>
          </w:tcPr>
          <w:p>
            <w:pPr>
              <w:spacing w:after="0"/>
            </w:pPr>
            <w:r/>
            <w:r>
              <w:rPr>
                <w:rFonts w:ascii="Calibri" w:hAnsi="Calibri"/>
                <w:b w:val="0"/>
                <w:sz w:val="21"/>
              </w:rPr>
              <w:t>Estructura backend/frontend, scripts, build estático y configuración de ejecución.</w:t>
            </w:r>
          </w:p>
        </w:tc>
      </w:tr>
      <w:tr>
        <w:tc>
          <w:tcPr>
            <w:tcW w:type="dxa" w:w="4700"/>
            <w:vAlign w:val="center"/>
            <w:shd w:fill="F2F4F7"/>
          </w:tcPr>
          <w:p>
            <w:pPr>
              <w:spacing w:after="0"/>
            </w:pPr>
            <w:r/>
            <w:r>
              <w:rPr>
                <w:rFonts w:ascii="Calibri" w:hAnsi="Calibri"/>
                <w:b/>
                <w:sz w:val="21"/>
              </w:rPr>
              <w:t>Total estimado</w:t>
            </w:r>
          </w:p>
        </w:tc>
        <w:tc>
          <w:tcPr>
            <w:tcW w:type="dxa" w:w="1900"/>
            <w:vAlign w:val="center"/>
            <w:shd w:fill="F2F4F7"/>
          </w:tcPr>
          <w:p>
            <w:pPr>
              <w:spacing w:after="0"/>
            </w:pPr>
            <w:r/>
            <w:r>
              <w:rPr>
                <w:rFonts w:ascii="Calibri" w:hAnsi="Calibri"/>
                <w:b/>
                <w:sz w:val="21"/>
              </w:rPr>
              <w:t>~112-155 hrs</w:t>
            </w:r>
          </w:p>
        </w:tc>
        <w:tc>
          <w:tcPr>
            <w:tcW w:type="dxa" w:w="2760"/>
            <w:vAlign w:val="center"/>
            <w:shd w:fill="F2F4F7"/>
          </w:tcPr>
          <w:p>
            <w:pPr>
              <w:spacing w:after="0"/>
            </w:pPr>
            <w:r/>
            <w:r>
              <w:rPr>
                <w:rFonts w:ascii="Calibri" w:hAnsi="Calibri"/>
                <w:b/>
                <w:sz w:val="21"/>
              </w:rPr>
              <w:t>Rango consolidado de esfuerzo técnico.</w:t>
            </w:r>
          </w:p>
        </w:tc>
      </w:tr>
    </w:tbl>
    <w:p>
      <w:pPr>
        <w:pStyle w:val="Heading1"/>
      </w:pPr>
      <w:r>
        <w:t>3. Cálculo económico referencial</w:t>
      </w:r>
    </w:p>
    <w:p>
      <w:r>
        <w:t>Para respaldar el valor se utiliza una tarifa freelance local razonable para Chile en perfil Junior-Mid, considerando que el sistema ya reúne módulos funcionales, integración frontend/backend y lógica de negocio específica.</w:t>
      </w:r>
    </w:p>
    <w:tbl>
      <w:tblPr>
        <w:tblStyle w:val="TableGrid"/>
        <w:tblW w:type="dxa" w:w="9360"/>
        <w:jc w:val="left"/>
        <w:tblLayout w:type="fixed"/>
        <w:tblLook w:firstColumn="1" w:firstRow="1" w:lastColumn="0" w:lastRow="0" w:noHBand="0" w:noVBand="1" w:val="04A0"/>
        <w:tblInd w:w="120" w:type="dxa"/>
      </w:tblPr>
      <w:tblGrid>
        <w:gridCol w:w="1900"/>
        <w:gridCol w:w="2200"/>
        <w:gridCol w:w="2500"/>
        <w:gridCol w:w="2760"/>
      </w:tblGrid>
      <w:tr>
        <w:tc>
          <w:tcPr>
            <w:tcW w:type="dxa" w:w="1900"/>
            <w:tcMar>
              <w:top w:w="80" w:type="dxa"/>
              <w:start w:w="120" w:type="dxa"/>
              <w:bottom w:w="80" w:type="dxa"/>
              <w:end w:w="120" w:type="dxa"/>
            </w:tcMar>
            <w:vAlign w:val="center"/>
            <w:shd w:fill="1F4D78"/>
          </w:tcPr>
          <w:p>
            <w:pPr>
              <w:spacing w:after="0"/>
            </w:pPr>
            <w:r/>
            <w:r>
              <w:rPr>
                <w:rFonts w:ascii="Calibri" w:hAnsi="Calibri"/>
                <w:b/>
                <w:color w:val="FFFFFF"/>
                <w:sz w:val="21"/>
              </w:rPr>
              <w:t>Perfil</w:t>
            </w:r>
          </w:p>
        </w:tc>
        <w:tc>
          <w:tcPr>
            <w:tcW w:type="dxa" w:w="2200"/>
            <w:tcMar>
              <w:top w:w="80" w:type="dxa"/>
              <w:start w:w="120" w:type="dxa"/>
              <w:bottom w:w="80" w:type="dxa"/>
              <w:end w:w="120" w:type="dxa"/>
            </w:tcMar>
            <w:vAlign w:val="center"/>
            <w:shd w:fill="1F4D78"/>
          </w:tcPr>
          <w:p>
            <w:pPr>
              <w:spacing w:after="0"/>
            </w:pPr>
            <w:r/>
            <w:r>
              <w:rPr>
                <w:rFonts w:ascii="Calibri" w:hAnsi="Calibri"/>
                <w:b/>
                <w:color w:val="FFFFFF"/>
                <w:sz w:val="21"/>
              </w:rPr>
              <w:t>Tarifa/hr</w:t>
            </w:r>
          </w:p>
        </w:tc>
        <w:tc>
          <w:tcPr>
            <w:tcW w:type="dxa" w:w="2500"/>
            <w:tcMar>
              <w:top w:w="80" w:type="dxa"/>
              <w:start w:w="120" w:type="dxa"/>
              <w:bottom w:w="80" w:type="dxa"/>
              <w:end w:w="120" w:type="dxa"/>
            </w:tcMar>
            <w:vAlign w:val="center"/>
            <w:shd w:fill="1F4D78"/>
          </w:tcPr>
          <w:p>
            <w:pPr>
              <w:spacing w:after="0"/>
            </w:pPr>
            <w:r/>
            <w:r>
              <w:rPr>
                <w:rFonts w:ascii="Calibri" w:hAnsi="Calibri"/>
                <w:b/>
                <w:color w:val="FFFFFF"/>
                <w:sz w:val="21"/>
              </w:rPr>
              <w:t>Horas estimadas</w:t>
            </w:r>
          </w:p>
        </w:tc>
        <w:tc>
          <w:tcPr>
            <w:tcW w:type="dxa" w:w="2760"/>
            <w:tcMar>
              <w:top w:w="80" w:type="dxa"/>
              <w:start w:w="120" w:type="dxa"/>
              <w:bottom w:w="80" w:type="dxa"/>
              <w:end w:w="120" w:type="dxa"/>
            </w:tcMar>
            <w:vAlign w:val="center"/>
            <w:shd w:fill="1F4D78"/>
          </w:tcPr>
          <w:p>
            <w:pPr>
              <w:spacing w:after="0"/>
            </w:pPr>
            <w:r/>
            <w:r>
              <w:rPr>
                <w:rFonts w:ascii="Calibri" w:hAnsi="Calibri"/>
                <w:b/>
                <w:color w:val="FFFFFF"/>
                <w:sz w:val="21"/>
              </w:rPr>
              <w:t>Rango total</w:t>
            </w:r>
          </w:p>
        </w:tc>
      </w:tr>
      <w:tr>
        <w:tc>
          <w:tcPr>
            <w:tcW w:type="dxa" w:w="1900"/>
            <w:vAlign w:val="center"/>
          </w:tcPr>
          <w:p>
            <w:pPr>
              <w:spacing w:after="0"/>
            </w:pPr>
            <w:r/>
            <w:r>
              <w:rPr>
                <w:rFonts w:ascii="Calibri" w:hAnsi="Calibri"/>
                <w:b w:val="0"/>
                <w:sz w:val="21"/>
              </w:rPr>
              <w:t>Junior-Mid</w:t>
            </w:r>
          </w:p>
        </w:tc>
        <w:tc>
          <w:tcPr>
            <w:tcW w:type="dxa" w:w="2200"/>
            <w:vAlign w:val="center"/>
          </w:tcPr>
          <w:p>
            <w:pPr>
              <w:spacing w:after="0"/>
            </w:pPr>
            <w:r/>
            <w:r>
              <w:rPr>
                <w:rFonts w:ascii="Calibri" w:hAnsi="Calibri"/>
                <w:b w:val="0"/>
                <w:sz w:val="21"/>
              </w:rPr>
              <w:t>$8.000-$12.000</w:t>
            </w:r>
          </w:p>
        </w:tc>
        <w:tc>
          <w:tcPr>
            <w:tcW w:type="dxa" w:w="2500"/>
            <w:vAlign w:val="center"/>
          </w:tcPr>
          <w:p>
            <w:pPr>
              <w:spacing w:after="0"/>
            </w:pPr>
            <w:r/>
            <w:r>
              <w:rPr>
                <w:rFonts w:ascii="Calibri" w:hAnsi="Calibri"/>
                <w:b w:val="0"/>
                <w:sz w:val="21"/>
              </w:rPr>
              <w:t>112-155 hrs</w:t>
            </w:r>
          </w:p>
        </w:tc>
        <w:tc>
          <w:tcPr>
            <w:tcW w:type="dxa" w:w="2760"/>
            <w:vAlign w:val="center"/>
          </w:tcPr>
          <w:p>
            <w:pPr>
              <w:spacing w:after="0"/>
            </w:pPr>
            <w:r/>
            <w:r>
              <w:rPr>
                <w:rFonts w:ascii="Calibri" w:hAnsi="Calibri"/>
                <w:b w:val="0"/>
                <w:sz w:val="21"/>
              </w:rPr>
              <w:t>$896.000-$1.860.000 CLP</w:t>
            </w:r>
          </w:p>
        </w:tc>
      </w:tr>
      <w:tr>
        <w:tc>
          <w:tcPr>
            <w:tcW w:type="dxa" w:w="1900"/>
            <w:vAlign w:val="center"/>
            <w:shd w:fill="E8EEF5"/>
          </w:tcPr>
          <w:p>
            <w:pPr>
              <w:spacing w:after="0"/>
            </w:pPr>
            <w:r/>
            <w:r>
              <w:rPr>
                <w:rFonts w:ascii="Calibri" w:hAnsi="Calibri"/>
                <w:b/>
                <w:sz w:val="21"/>
              </w:rPr>
              <w:t>Valor propuesto</w:t>
            </w:r>
          </w:p>
        </w:tc>
        <w:tc>
          <w:tcPr>
            <w:tcW w:type="dxa" w:w="2200"/>
            <w:vAlign w:val="center"/>
            <w:shd w:fill="E8EEF5"/>
          </w:tcPr>
          <w:p>
            <w:pPr>
              <w:spacing w:after="0"/>
            </w:pPr>
            <w:r/>
            <w:r>
              <w:rPr>
                <w:rFonts w:ascii="Calibri" w:hAnsi="Calibri"/>
                <w:b/>
                <w:sz w:val="21"/>
              </w:rPr>
              <w:t>Equivalente aprox.</w:t>
            </w:r>
          </w:p>
        </w:tc>
        <w:tc>
          <w:tcPr>
            <w:tcW w:type="dxa" w:w="2500"/>
            <w:vAlign w:val="center"/>
            <w:shd w:fill="E8EEF5"/>
          </w:tcPr>
          <w:p>
            <w:pPr>
              <w:spacing w:after="0"/>
            </w:pPr>
            <w:r/>
            <w:r>
              <w:rPr>
                <w:rFonts w:ascii="Calibri" w:hAnsi="Calibri"/>
                <w:b/>
                <w:sz w:val="21"/>
              </w:rPr>
              <w:t>Dentro del rango</w:t>
            </w:r>
          </w:p>
        </w:tc>
        <w:tc>
          <w:tcPr>
            <w:tcW w:type="dxa" w:w="2760"/>
            <w:vAlign w:val="center"/>
            <w:shd w:fill="E8EEF5"/>
          </w:tcPr>
          <w:p>
            <w:pPr>
              <w:spacing w:after="0"/>
            </w:pPr>
            <w:r/>
            <w:r>
              <w:rPr>
                <w:rFonts w:ascii="Calibri" w:hAnsi="Calibri"/>
                <w:b/>
                <w:sz w:val="21"/>
              </w:rPr>
              <w:t>$1.500.000 CLP</w:t>
            </w:r>
          </w:p>
        </w:tc>
      </w:tr>
    </w:tbl>
    <w:p>
      <w:pPr>
        <w:pStyle w:val="Heading1"/>
      </w:pPr>
      <w:r>
        <w:t>4. Justificación del valor de $1.500.000 CLP</w:t>
      </w:r>
    </w:p>
    <w:p>
      <w:r>
        <w:t>El valor de $1.500.000 CLP queda respaldado porque se encuentra dentro del rango económico calculado para el esfuerzo estimado de desarrollo y, además, se ubica por debajo del extremo superior resultante al aplicar una tarifa Junior-Mid local.</w:t>
      </w:r>
    </w:p>
    <w:p>
      <w:pPr>
        <w:pStyle w:val="ListBullet"/>
      </w:pPr>
      <w:r>
        <w:t>Con 112 horas a $8.000/hr, el mínimo referencial es $896.000 CLP.</w:t>
      </w:r>
    </w:p>
    <w:p>
      <w:pPr>
        <w:pStyle w:val="ListBullet"/>
      </w:pPr>
      <w:r>
        <w:t>Con 155 horas a $12.000/hr, el máximo referencial es $1.860.000 CLP.</w:t>
      </w:r>
    </w:p>
    <w:p>
      <w:pPr>
        <w:pStyle w:val="ListBullet"/>
      </w:pPr>
      <w:r>
        <w:t>El valor de $1.500.000 CLP equivale aproximadamente a $9.677/hr si se toma el máximo de 155 horas, o $13.393/hr si se toma el mínimo de 112 horas.</w:t>
      </w:r>
    </w:p>
    <w:p>
      <w:pPr>
        <w:pStyle w:val="ListBullet"/>
      </w:pPr>
      <w:r>
        <w:t>La cifra propuesta es defendible como precio cerrado, especialmente considerando que incluye módulos conectados entre sí y lógica de negocio ya implementada.</w:t>
      </w:r>
    </w:p>
    <w:p>
      <w:pPr>
        <w:pStyle w:val="Heading1"/>
      </w:pPr>
      <w:r>
        <w:t>5. Consideraciones que moderan el precio</w:t>
      </w:r>
    </w:p>
    <w:p>
      <w:r>
        <w:t>Aunque el sistema tiene valor funcional real, el precio se mantiene en $1.500.000 CLP por tratarse de una solución de escala local y por no incluir todavía ciertos elementos propios de un producto comercial robusto.</w:t>
      </w:r>
    </w:p>
    <w:p>
      <w:pPr>
        <w:pStyle w:val="ListBullet"/>
      </w:pPr>
      <w:r>
        <w:t>No contempla autenticación de usuarios ni roles administrativos.</w:t>
      </w:r>
    </w:p>
    <w:p>
      <w:pPr>
        <w:pStyle w:val="ListBullet"/>
      </w:pPr>
      <w:r>
        <w:t>No incorpora facturación electrónica ni integración directa con SII.</w:t>
      </w:r>
    </w:p>
    <w:p>
      <w:pPr>
        <w:pStyle w:val="ListBullet"/>
      </w:pPr>
      <w:r>
        <w:t>No incluye pruebas automatizadas formales.</w:t>
      </w:r>
    </w:p>
    <w:p>
      <w:pPr>
        <w:pStyle w:val="ListBullet"/>
      </w:pPr>
      <w:r>
        <w:t>Utiliza SQLite, adecuado para operación local o pequeña, pero no para alta concurrencia o múltiples sucursales sin ajustes.</w:t>
      </w:r>
    </w:p>
    <w:p>
      <w:pPr>
        <w:pStyle w:val="ListBullet"/>
      </w:pPr>
      <w:r>
        <w:t>No incluye módulos de caja avanzada, métodos de pago, proveedores, compras ni códigos de barra.</w:t>
      </w:r>
    </w:p>
    <w:p>
      <w:pPr>
        <w:pStyle w:val="Heading1"/>
      </w:pPr>
      <w:r>
        <w:t>6. Conclusión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60" w:type="dxa"/>
              <w:start w:w="180" w:type="dxa"/>
              <w:bottom w:w="160" w:type="dxa"/>
              <w:end w:w="180" w:type="dxa"/>
            </w:tcMar>
            <w:shd w:fill="F4F6F9"/>
          </w:tcPr>
          <w:p>
            <w:pPr>
              <w:spacing w:after="0"/>
            </w:pPr>
            <w:r/>
            <w:r>
              <w:rPr>
                <w:rFonts w:ascii="Calibri" w:hAnsi="Calibri"/>
                <w:b/>
                <w:color w:val="0B2545"/>
                <w:sz w:val="22"/>
              </w:rPr>
              <w:t xml:space="preserve">Conclusión de valoración: </w:t>
            </w:r>
            <w:r>
              <w:rPr>
                <w:rFonts w:ascii="Calibri" w:hAnsi="Calibri"/>
                <w:sz w:val="22"/>
              </w:rPr>
              <w:t>El monto de $1.500.000 CLP es un valor técnicamente respaldado para el sistema descrito, al encontrarse dentro del rango de mercado estimado por horas de desarrollo y al reflejar una valoración conservadora frente al alcance funcional realmente implementado.</w:t>
            </w:r>
          </w:p>
        </w:tc>
      </w:tr>
    </w:tbl>
    <w:p/>
    <w:p>
      <w:pPr>
        <w:spacing w:before="360"/>
      </w:pPr>
      <w:r>
        <w:rPr>
          <w:i/>
        </w:rPr>
        <w:t>Preparado para respaldo de evaluación económica del sistema.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Documento de respaldo económico | Valores expresados en pesos chilenos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Respaldo de valoración técnica - Sistema de cotizaciones y ventas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