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36" w:after="0" w:line="417" w:lineRule="exact"/>
        <w:jc w:val="center"/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彙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編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國101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年7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版</w:t>
      </w:r>
      <w:r>
        <w:rPr>
          <w:color w:val="#000000"/>
          <w:sz w:val="26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
</w:t>
        <w:br/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充101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年4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至8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0" w:firstLine="0"/>
        <w:spacing w:before="432" w:after="0" w:line="227" w:lineRule="exact"/>
        <w:jc w:val="left"/>
        <w:rPr>
          <w:color w:val="#000000"/>
          <w:sz w:val="19"/>
          <w:lang w:val="en-US"/>
          <w:spacing w:val="0"/>
          <w:w w:val="115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15"/>
          <w:strike w:val="false"/>
          <w:vertAlign w:val="baseline"/>
          <w:rFonts w:ascii="Arial" w:hAnsi="Arial"/>
        </w:rPr>
        <w:t xml:space="preserve">p.71</w:t>
      </w:r>
    </w:p>
    <w:p>
      <w:pPr>
        <w:ind w:right="0" w:left="72" w:firstLine="0"/>
        <w:spacing w:before="72" w:after="0" w:line="261" w:lineRule="exact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2" w:firstLine="0"/>
        <w:spacing w:before="216" w:after="0" w:line="258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864" w:firstLine="-864"/>
        <w:spacing w:before="72" w:after="0" w:line="269" w:lineRule="exact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第12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之1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第12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之2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10 1.4.23.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10130001020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0" w:firstLine="0"/>
        <w:spacing w:before="252" w:after="0" w:line="227" w:lineRule="exact"/>
        <w:jc w:val="left"/>
        <w:rPr>
          <w:color w:val="#000000"/>
          <w:sz w:val="19"/>
          <w:lang w:val="en-US"/>
          <w:spacing w:val="0"/>
          <w:w w:val="115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15"/>
          <w:strike w:val="false"/>
          <w:vertAlign w:val="baseline"/>
          <w:rFonts w:ascii="Arial" w:hAnsi="Arial"/>
        </w:rPr>
        <w:t xml:space="preserve">p.197</w:t>
      </w:r>
    </w:p>
    <w:p>
      <w:pPr>
        <w:ind w:right="4104" w:left="72" w:firstLine="0"/>
        <w:spacing w:before="72" w:after="0" w:line="402" w:lineRule="exact"/>
        <w:jc w:val="left"/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576" w:firstLine="-576"/>
        <w:spacing w:before="72" w:after="0" w:line="268" w:lineRule="exact"/>
        <w:jc w:val="both"/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遵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守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儘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速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落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強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化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16" w:after="0" w:line="195" w:lineRule="exact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10 1.8.6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10100200020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576" w:firstLine="-576"/>
        <w:spacing w:before="72" w:after="0" w:line="270" w:lineRule="exact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強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化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貴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守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稽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第8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儘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速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落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歹q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</w:p>
    <w:p>
      <w:pPr>
        <w:ind w:right="0" w:left="0" w:firstLine="0"/>
        <w:spacing w:before="216" w:after="0" w:line="227" w:lineRule="exact"/>
        <w:jc w:val="left"/>
        <w:rPr>
          <w:color w:val="#000000"/>
          <w:sz w:val="19"/>
          <w:lang w:val="en-US"/>
          <w:spacing w:val="0"/>
          <w:w w:val="115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15"/>
          <w:strike w:val="false"/>
          <w:vertAlign w:val="baseline"/>
          <w:rFonts w:ascii="Arial" w:hAnsi="Arial"/>
        </w:rPr>
        <w:t xml:space="preserve">p.211</w:t>
      </w:r>
    </w:p>
    <w:p>
      <w:pPr>
        <w:ind w:right="3312" w:left="72" w:firstLine="0"/>
        <w:spacing w:before="72" w:after="0" w:line="404" w:lineRule="exact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576" w:firstLine="-576"/>
        <w:spacing w:before="72" w:after="756" w:line="268" w:lineRule="exact"/>
        <w:jc w:val="left"/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司101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90" w:lineRule="auto"/>
        <w:jc w:val="center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一1</w: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5370" w:top="934" w:right="4276" w:left="1102" w:header="720" w:footer="720"/>
          <w:titlePg w:val="false"/>
        </w:sectPr>
      </w:pPr>
    </w:p>
    <w:p>
      <w:pPr>
        <w:ind w:right="0" w:left="0" w:firstLine="0"/>
        <w:spacing w:before="36" w:after="0" w:line="240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10 1.7.4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10100162800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008" w:firstLine="-1008"/>
        <w:spacing w:before="72" w:after="0" w:line="240" w:lineRule="auto"/>
        <w:jc w:val="both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二·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東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第37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第74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第1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部93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年6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月30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0932000521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008" w:firstLine="-360"/>
        <w:spacing w:before="0" w:after="0" w:line="240" w:lineRule="auto"/>
        <w:jc w:val="both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司 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101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乙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的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考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第37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第74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況·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9"/>
          <w:lang w:val="en-US"/>
          <w:spacing w:val="0"/>
          <w:w w:val="12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0"/>
          <w:w w:val="120"/>
          <w:strike w:val="false"/>
          <w:vertAlign w:val="baseline"/>
          <w:rFonts w:ascii="Tahoma" w:hAnsi="Tahoma"/>
        </w:rPr>
        <w:t xml:space="preserve">p.325</w:t>
      </w:r>
    </w:p>
    <w:p>
      <w:pPr>
        <w:ind w:right="0" w:left="72" w:firstLine="0"/>
        <w:spacing w:before="72" w:after="0" w:line="240" w:lineRule="auto"/>
        <w:jc w:val="left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5760" w:left="72" w:firstLine="0"/>
        <w:spacing w:before="216" w:after="0" w:line="288" w:lineRule="auto"/>
        <w:jc w:val="left"/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4"/>
          <w:lang w:val="en-US"/>
          <w:spacing w:val="2"/>
          <w:w w:val="115"/>
          <w:strike w:val="false"/>
          <w:vertAlign w:val="baseline"/>
          <w:rFonts w:ascii="Times New Roman" w:hAnsi="Times New Roman"/>
        </w:rPr>
        <w:t xml:space="preserve">100. 12. 13.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4"/>
          <w:lang w:val="en-US"/>
          <w:spacing w:val="2"/>
          <w:w w:val="115"/>
          <w:strike w:val="false"/>
          <w:vertAlign w:val="baseline"/>
          <w:rFonts w:ascii="Times New Roman" w:hAnsi="Times New Roman"/>
        </w:rPr>
        <w:t xml:space="preserve">10000401870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576" w:firstLine="-576"/>
        <w:spacing w:before="72" w:after="0" w:line="240" w:lineRule="auto"/>
        <w:jc w:val="both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局100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面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多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面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落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遵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循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貴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008" w:firstLine="-1008"/>
        <w:spacing w:before="0" w:after="0" w:line="240" w:lineRule="auto"/>
        <w:jc w:val="both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局100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年11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月11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20"/>
          <w:lang w:val="en-US"/>
          <w:spacing w:val="1"/>
          <w:w w:val="110"/>
          <w:strike w:val="false"/>
          <w:vertAlign w:val="baseline"/>
          <w:rFonts w:ascii="Times New Roman" w:hAnsi="Times New Roman"/>
        </w:rPr>
        <w:t xml:space="preserve">10001561205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6"/>
          <w:lang w:val="en-US"/>
          <w:spacing w:val="10"/>
          <w:w w:val="11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6"/>
          <w:lang w:val="en-US"/>
          <w:spacing w:val="10"/>
          <w:w w:val="11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6"/>
          <w:lang w:val="en-US"/>
          <w:spacing w:val="10"/>
          <w:w w:val="11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6"/>
          <w:lang w:val="en-US"/>
          <w:spacing w:val="10"/>
          <w:w w:val="11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008" w:firstLine="-432"/>
        <w:spacing w:before="0" w:after="288" w:line="240" w:lineRule="auto"/>
        <w:jc w:val="both"/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循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局99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年12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月1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09930004670</w:t>
      </w:r>
    </w:p>
    <w:p>
      <w:pPr>
        <w:ind w:right="0" w:left="0" w:firstLine="0"/>
        <w:spacing w:before="0" w:after="0" w:line="278" w:lineRule="auto"/>
        <w:jc w:val="center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一2</w: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5350" w:top="974" w:right="4816" w:left="562" w:header="720" w:footer="720"/>
          <w:titlePg w:val="false"/>
        </w:sectPr>
      </w:pPr>
    </w:p>
    <w:p>
      <w:pPr>
        <w:ind w:right="0" w:left="1008" w:firstLine="0"/>
        <w:spacing w:before="72" w:after="0" w:line="240" w:lineRule="auto"/>
        <w:jc w:val="left"/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</w:pPr>
      <w:r>
        <w:pict>
          <v:line strokeweight="0.2pt" strokecolor="#000000" from="345.2pt,-47.5pt" to="373.25pt,-47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見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303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）)</w:t>
      </w:r>
    </w:p>
    <w:p>
      <w:pPr>
        <w:ind w:right="0" w:left="1008" w:firstLine="-360"/>
        <w:spacing w:before="0" w:after="0" w:line="240" w:lineRule="auto"/>
        <w:jc w:val="both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三·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僅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低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貴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討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音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影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52" w:after="0" w:line="271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4"/>
          <w:lang w:val="en-US"/>
          <w:spacing w:val="2"/>
          <w:w w:val="120"/>
          <w:strike w:val="false"/>
          <w:vertAlign w:val="baseline"/>
          <w:rFonts w:ascii="Times New Roman" w:hAnsi="Times New Roman"/>
        </w:rPr>
        <w:t xml:space="preserve">10 1.6.27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第11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第2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101.7.30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10100236300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洽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36" w:after="0" w:line="278" w:lineRule="auto"/>
        <w:jc w:val="left"/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3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08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0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36" w:after="0" w:line="240" w:lineRule="auto"/>
        <w:jc w:val="both"/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員· 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歹J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偶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376" w:firstLine="0"/>
        <w:spacing w:before="36" w:after="0" w:line="240" w:lineRule="auto"/>
        <w:jc w:val="left"/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血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姻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2304" w:firstLine="-504"/>
        <w:spacing w:before="0" w:after="0" w:line="240" w:lineRule="auto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夥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2304" w:firstLine="-504"/>
        <w:spacing w:before="0" w:after="0" w:line="240" w:lineRule="auto"/>
        <w:jc w:val="both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獨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2304" w:firstLine="-504"/>
        <w:spacing w:before="0" w:after="0" w:line="240" w:lineRule="auto"/>
        <w:jc w:val="both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董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事·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察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企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董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此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08" w:left="0" w:firstLine="0"/>
        <w:spacing w:before="36" w:after="0" w:line="240" w:lineRule="auto"/>
        <w:jc w:val="righ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296" w:firstLine="0"/>
        <w:spacing w:before="0" w:after="0" w:line="240" w:lineRule="auto"/>
        <w:jc w:val="right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08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夥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880" w:firstLine="0"/>
        <w:spacing w:before="252" w:after="0" w:line="316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一3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5292" w:top="1016" w:right="4623" w:left="755" w:header="720" w:footer="720"/>
          <w:titlePg w:val="false"/>
        </w:sectPr>
      </w:pPr>
    </w:p>
    <w:p>
      <w:pPr>
        <w:ind w:right="72" w:left="1800" w:firstLine="0"/>
        <w:spacing w:before="72" w:after="0" w:line="240" w:lineRule="auto"/>
        <w:jc w:val="both"/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企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7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368" w:firstLine="0"/>
        <w:spacing w:before="0" w:after="0" w:line="240" w:lineRule="auto"/>
        <w:jc w:val="left"/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包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副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稽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核·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透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47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
</w:t>
        <w:br/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368" w:firstLine="-1368"/>
        <w:spacing w:before="0" w:after="0" w:line="240" w:lineRule="auto"/>
        <w:jc w:val="left"/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left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此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足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96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佐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異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both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調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歹IJ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批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both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；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嗣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包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迴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避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討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368" w:firstLine="0"/>
        <w:spacing w:before="0" w:after="0" w:line="240" w:lineRule="auto"/>
        <w:jc w:val="both"/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包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手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費·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估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社·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內·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途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客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368" w:firstLine="-1368"/>
        <w:spacing w:before="0" w:after="0" w:line="240" w:lineRule="auto"/>
        <w:jc w:val="left"/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歹J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0" w:left="1368" w:firstLine="0"/>
        <w:spacing w:before="0" w:after="0" w:line="240" w:lineRule="auto"/>
        <w:jc w:val="left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二·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584" w:firstLine="-216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52" w:after="0" w:line="276" w:lineRule="auto"/>
        <w:jc w:val="center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一4</w: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5350" w:top="974" w:right="4667" w:left="711" w:header="720" w:footer="720"/>
          <w:titlePg w:val="false"/>
        </w:sectPr>
      </w:pPr>
    </w:p>
    <w:p>
      <w:pPr>
        <w:ind w:right="72" w:left="1368" w:firstLine="-1368"/>
        <w:spacing w:before="72" w:after="0" w:line="240" w:lineRule="auto"/>
        <w:jc w:val="left"/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5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left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從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優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both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二·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式·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lef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三·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1440" w:firstLine="0"/>
        <w:spacing w:before="36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lef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四·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both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几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both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几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惟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2376" w:firstLine="-504"/>
        <w:spacing w:before="0" w:after="0" w:line="240" w:lineRule="auto"/>
        <w:jc w:val="left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佣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佣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1368" w:firstLine="-1368"/>
        <w:spacing w:before="36" w:after="0" w:line="240" w:lineRule="auto"/>
        <w:jc w:val="left"/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4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濫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犧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己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72" w:left="1800" w:firstLine="-432"/>
        <w:spacing w:before="0" w:after="0" w:line="240" w:lineRule="auto"/>
        <w:jc w:val="both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迴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避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52" w:after="0" w:line="314" w:lineRule="auto"/>
        <w:jc w:val="center"/>
        <w:rPr>
          <w:color w:val="#000000"/>
          <w:sz w:val="8"/>
          <w:lang w:val="en-US"/>
          <w:spacing w:val="0"/>
          <w:w w:val="160"/>
          <w:strike w:val="false"/>
          <w:vertAlign w:val="baseline"/>
          <w:rFonts w:ascii="MingLiU" w:hAnsi="MingLiU"/>
        </w:rPr>
      </w:pPr>
      <w:r>
        <w:rPr>
          <w:color w:val="#000000"/>
          <w:sz w:val="8"/>
          <w:lang w:val="en-US"/>
          <w:spacing w:val="0"/>
          <w:w w:val="160"/>
          <w:strike w:val="false"/>
          <w:vertAlign w:val="baseline"/>
          <w:rFonts w:ascii="MingLiU" w:hAnsi="MingLiU"/>
        </w:rPr>
        <w:t xml:space="preserve">一5</w:t>
      </w:r>
      <w:r>
        <w:rPr>
          <w:color w:val="#000000"/>
          <w:sz w:val="8"/>
          <w:lang w:val="en-US"/>
          <w:spacing w:val="0"/>
          <w:w w:val="16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5370" w:top="954" w:right="4670" w:left="708" w:header="720" w:footer="720"/>
          <w:titlePg w:val="false"/>
        </w:sectPr>
      </w:pPr>
    </w:p>
    <w:p>
      <w:pPr>
        <w:ind w:right="0" w:left="0" w:firstLine="0"/>
        <w:spacing w:before="0" w:after="0" w:line="360" w:lineRule="auto"/>
        <w:jc w:val="left"/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</w:pPr>
      <w:r>
        <w:pict>
          <v:line strokeweight="0.2pt" strokecolor="#000000" from="186.1pt,1.8pt" to="200.55pt,1.8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168.65pt,2.15pt" to="183.45pt,2.1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105.3pt,3.05pt" to="105.3pt,4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14.3pt,5.2pt" to="14.3pt,5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'-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→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－-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7"/>
          <w:lang w:val="en-US"/>
          <w:spacing w:val="17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736" w:firstLine="0"/>
        <w:spacing w:before="684" w:after="0" w:line="240" w:lineRule="auto"/>
        <w:jc w:val="lef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佐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936"/>
        <w:spacing w:before="0" w:after="0" w:line="240" w:lineRule="auto"/>
        <w:jc w:val="left"/>
        <w:rPr>
          <w:color w:val="#000000"/>
          <w:sz w:val="18"/>
          <w:lang w:val="en-US"/>
          <w:spacing w:val="4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8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48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48"/>
          <w:w w:val="100"/>
          <w:strike w:val="false"/>
          <w:vertAlign w:val="baseline"/>
          <w:rFonts w:ascii="MingLiU" w:hAnsi="MingLiU"/>
        </w:rPr>
        <w:t xml:space="preserve">條 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38"/>
          <w:w w:val="100"/>
          <w:strike w:val="false"/>
          <w:vertAlign w:val="baseline"/>
          <w:rFonts w:ascii="MingLiU" w:hAnsi="MingLiU"/>
        </w:rPr>
        <w:t xml:space="preserve">循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稽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6.65pt;height:140.95pt;z-index:-1000;margin-left:-16.1pt;margin-top:82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2196" w:after="252" w:line="240" w:lineRule="auto"/>
                    <w:jc w:val="right"/>
                    <w:framePr w:hAnchor="page" w:vAnchor="page" w:x="-322" w:y="1643" w:w="2333" w:h="2819" w:hSpace="0" w:vSpace="0" w:wrap="3"/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至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一·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傳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73" w:lineRule="auto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填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報·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432" w:firstLine="0"/>
        <w:spacing w:before="36" w:after="0" w:line="211" w:lineRule="auto"/>
        <w:jc w:val="left"/>
        <w:rPr>
          <w:color w:val="#000000"/>
          <w:sz w:val="17"/>
          <w:lang w:val="en-US"/>
          <w:spacing w:val="0"/>
          <w:w w:val="11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0"/>
          <w:w w:val="110"/>
          <w:strike w:val="false"/>
          <w:vertAlign w:val="baseline"/>
          <w:rFonts w:ascii="MingLiU" w:hAnsi="MingLiU"/>
        </w:rPr>
        <w:t xml:space="preserve">流</w:t>
      </w:r>
      <w:r>
        <w:rPr>
          <w:color w:val="#000000"/>
          <w:sz w:val="17"/>
          <w:lang w:val="en-US"/>
          <w:spacing w:val="0"/>
          <w:w w:val="11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“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302" w:lineRule="auto"/>
        <w:jc w:val="lef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害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歹j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果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留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nextPage"/>
          <w:textDirection w:val="lrTb"/>
          <w:pgMar w:bottom="5284" w:top="0" w:right="4665" w:left="0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260"/>
        <w:gridCol w:w="5226"/>
      </w:tblGrid>
      <w:tr>
        <w:trPr>
          <w:trHeight w:val="8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en-US"/>
                <w:spacing w:val="30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30"/>
                <w:w w:val="100"/>
                <w:strike w:val="false"/>
                <w:vertAlign w:val="baseline"/>
                <w:rFonts w:ascii="MingLiU" w:hAnsi="MingLiU"/>
              </w:rPr>
              <w:t xml:space="preserve">第</w:t>
            </w:r>
            <w:r>
              <w:rPr>
                <w:color w:val="#000000"/>
                <w:sz w:val="18"/>
                <w:lang w:val="en-US"/>
                <w:spacing w:val="30"/>
                <w:w w:val="100"/>
                <w:strike w:val="false"/>
                <w:vertAlign w:val="baseline"/>
                <w:rFonts w:ascii="MingLiU" w:hAnsi="MingLiU"/>
              </w:rPr>
              <w:t xml:space="preserve">十</w:t>
            </w:r>
            <w:r>
              <w:rPr>
                <w:color w:val="#000000"/>
                <w:sz w:val="18"/>
                <w:lang w:val="en-US"/>
                <w:spacing w:val="30"/>
                <w:w w:val="100"/>
                <w:strike w:val="false"/>
                <w:vertAlign w:val="baseline"/>
                <w:rFonts w:ascii="MingLiU" w:hAnsi="MingLiU"/>
              </w:rPr>
              <w:t xml:space="preserve">條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6" w:type="auto"/>
            <w:textDirection w:val="lrTb"/>
            <w:vAlign w:val="top"/>
          </w:tcPr>
          <w:p>
            <w:pPr>
              <w:ind w:right="108" w:left="108" w:firstLine="0"/>
              <w:spacing w:before="0" w:after="0" w:line="240" w:lineRule="auto"/>
              <w:jc w:val="both"/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為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確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實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控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管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利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害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關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係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人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授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信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及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交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易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，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信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承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辦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單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位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應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洽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請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利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害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關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係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人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主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動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即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時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提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供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本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人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及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其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利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害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關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係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人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之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相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關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異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動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資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料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，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以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供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信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隨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時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更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新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利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害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關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係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人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資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料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。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</w:tc>
      </w:tr>
    </w:tbl>
    <w:p>
      <w:pPr>
        <w:ind w:right="72" w:left="1368" w:firstLine="-1368"/>
        <w:spacing w:before="0" w:after="0" w:line="271" w:lineRule="exact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奈 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盡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悉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理“</w:t>
      </w:r>
    </w:p>
    <w:p>
      <w:pPr>
        <w:ind w:right="360" w:left="0" w:firstLine="0"/>
        <w:spacing w:before="0" w:after="0" w:line="450" w:lineRule="exact"/>
        <w:jc w:val="left"/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條 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。 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p.382</w:t>
      </w:r>
    </w:p>
    <w:p>
      <w:pPr>
        <w:ind w:right="0" w:left="72" w:firstLine="0"/>
        <w:spacing w:before="36" w:after="0" w:line="239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2" w:firstLine="0"/>
        <w:spacing w:before="0" w:after="0" w:line="331" w:lineRule="exact"/>
        <w:jc w:val="left"/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顧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792" w:firstLine="0"/>
        <w:spacing w:before="0" w:after="0" w:line="272" w:lineRule="exact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褐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880" w:left="0" w:firstLine="0"/>
        <w:spacing w:before="216" w:after="0" w:line="256" w:lineRule="exact"/>
        <w:jc w:val="both"/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4"/>
          <w:lang w:val="en-US"/>
          <w:spacing w:val="2"/>
          <w:w w:val="115"/>
          <w:strike w:val="false"/>
          <w:vertAlign w:val="baseline"/>
          <w:rFonts w:ascii="Times New Roman" w:hAnsi="Times New Roman"/>
        </w:rPr>
        <w:t xml:space="preserve">100.1.18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4"/>
          <w:lang w:val="en-US"/>
          <w:spacing w:val="2"/>
          <w:w w:val="115"/>
          <w:strike w:val="false"/>
          <w:vertAlign w:val="baseline"/>
          <w:rFonts w:ascii="Times New Roman" w:hAnsi="Times New Roman"/>
        </w:rPr>
        <w:t xml:space="preserve">0990074116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4"/>
          <w:lang w:val="en-US"/>
          <w:spacing w:val="4"/>
          <w:w w:val="115"/>
          <w:strike w:val="false"/>
          <w:vertAlign w:val="baseline"/>
          <w:rFonts w:ascii="Times New Roman" w:hAnsi="Times New Roman"/>
        </w:rPr>
        <w:t xml:space="preserve">100.5.2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4"/>
          <w:lang w:val="en-US"/>
          <w:spacing w:val="4"/>
          <w:w w:val="115"/>
          <w:strike w:val="false"/>
          <w:vertAlign w:val="baseline"/>
          <w:rFonts w:ascii="Times New Roman" w:hAnsi="Times New Roman"/>
        </w:rPr>
        <w:t xml:space="preserve">1000015790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4"/>
          <w:lang w:val="en-US"/>
          <w:spacing w:val="2"/>
          <w:w w:val="115"/>
          <w:strike w:val="false"/>
          <w:vertAlign w:val="baseline"/>
          <w:rFonts w:ascii="Times New Roman" w:hAnsi="Times New Roman"/>
        </w:rPr>
        <w:t xml:space="preserve">100.7.27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4"/>
          <w:lang w:val="en-US"/>
          <w:spacing w:val="2"/>
          <w:w w:val="115"/>
          <w:strike w:val="false"/>
          <w:vertAlign w:val="baseline"/>
          <w:rFonts w:ascii="Times New Roman" w:hAnsi="Times New Roman"/>
        </w:rPr>
        <w:t xml:space="preserve">1000032229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10 1.7.2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1010027951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2" w:firstLine="0"/>
        <w:spacing w:before="216" w:after="0" w:line="265" w:lineRule="exact"/>
        <w:jc w:val="left"/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6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440" w:firstLine="0"/>
        <w:spacing w:before="0" w:after="0" w:line="235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歹j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872" w:firstLine="-432"/>
        <w:spacing w:before="0" w:after="0" w:line="280" w:lineRule="exact"/>
        <w:jc w:val="left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872" w:firstLine="0"/>
        <w:spacing w:before="0" w:after="0" w:line="249" w:lineRule="exact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共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440" w:firstLine="0"/>
        <w:spacing w:before="0" w:after="0" w:line="291" w:lineRule="exact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二·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3096" w:firstLine="0"/>
        <w:spacing w:before="144" w:after="0" w:line="130" w:lineRule="exact"/>
        <w:jc w:val="left"/>
        <w:rPr>
          <w:color w:val="#000000"/>
          <w:sz w:val="13"/>
          <w:lang w:val="en-US"/>
          <w:spacing w:val="0"/>
          <w:w w:val="125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0"/>
          <w:w w:val="125"/>
          <w:strike w:val="false"/>
          <w:vertAlign w:val="baseline"/>
          <w:rFonts w:ascii="MingLiU" w:hAnsi="MingLiU"/>
        </w:rPr>
        <w:t xml:space="preserve">一6</w:t>
      </w:r>
      <w:r>
        <w:rPr>
          <w:color w:val="#000000"/>
          <w:sz w:val="13"/>
          <w:lang w:val="en-US"/>
          <w:spacing w:val="0"/>
          <w:w w:val="125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continuous"/>
          <w:textDirection w:val="lrTb"/>
          <w:pgMar w:bottom="5284" w:top="0" w:right="4665" w:left="707" w:header="720" w:footer="720"/>
          <w:titlePg w:val="false"/>
        </w:sectPr>
      </w:pPr>
    </w:p>
    <w:p>
      <w:pPr>
        <w:ind w:right="0" w:left="360" w:firstLine="-360"/>
        <w:spacing w:before="72" w:after="0" w:line="240" w:lineRule="auto"/>
        <w:jc w:val="lef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三·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勵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360" w:firstLine="-360"/>
        <w:spacing w:before="0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教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練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008" w:firstLine="-576"/>
        <w:spacing w:before="0" w:after="0" w:line="240" w:lineRule="auto"/>
        <w:jc w:val="lef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贊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008" w:firstLine="-576"/>
        <w:spacing w:before="0" w:after="0" w:line="240" w:lineRule="auto"/>
        <w:jc w:val="both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業·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境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茶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費·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講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講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人·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教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練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008" w:firstLine="-576"/>
        <w:spacing w:before="36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露“</w:t>
      </w:r>
    </w:p>
    <w:p>
      <w:pPr>
        <w:ind w:right="0" w:left="360" w:firstLine="-360"/>
        <w:spacing w:before="0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360" w:firstLine="-360"/>
        <w:spacing w:before="0" w:after="0" w:line="240" w:lineRule="auto"/>
        <w:jc w:val="both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；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易·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語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音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360" w:firstLine="-360"/>
        <w:spacing w:before="36" w:after="0" w:line="240" w:lineRule="auto"/>
        <w:jc w:val="both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七·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閱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讀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；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語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音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識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 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p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頭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悉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又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就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朴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360" w:firstLine="-360"/>
        <w:spacing w:before="0" w:after="0" w:line="240" w:lineRule="auto"/>
        <w:jc w:val="both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八·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1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；2.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584" w:firstLine="0"/>
        <w:spacing w:before="216" w:after="0" w:line="240" w:lineRule="auto"/>
        <w:jc w:val="left"/>
        <w:rPr>
          <w:color w:val="#000000"/>
          <w:sz w:val="11"/>
          <w:lang w:val="en-US"/>
          <w:spacing w:val="0"/>
          <w:w w:val="120"/>
          <w:strike w:val="false"/>
          <w:vertAlign w:val="baseline"/>
          <w:rFonts w:ascii="MingLiU" w:hAnsi="MingLiU"/>
        </w:rPr>
      </w:pPr>
      <w:r>
        <w:rPr>
          <w:color w:val="#000000"/>
          <w:sz w:val="11"/>
          <w:lang w:val="en-US"/>
          <w:spacing w:val="0"/>
          <w:w w:val="120"/>
          <w:strike w:val="false"/>
          <w:vertAlign w:val="baseline"/>
          <w:rFonts w:ascii="MingLiU" w:hAnsi="MingLiU"/>
        </w:rPr>
        <w:t xml:space="preserve">一7</w:t>
      </w:r>
      <w:r>
        <w:rPr>
          <w:color w:val="#000000"/>
          <w:sz w:val="11"/>
          <w:lang w:val="en-US"/>
          <w:spacing w:val="0"/>
          <w:w w:val="12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5350" w:top="954" w:right="4656" w:left="2162" w:header="720" w:footer="720"/>
          <w:titlePg w:val="false"/>
        </w:sectPr>
      </w:pPr>
    </w:p>
    <w:p>
      <w:pPr>
        <w:ind w:right="0" w:left="0" w:firstLine="0"/>
        <w:spacing w:before="0" w:after="324" w:line="240" w:lineRule="auto"/>
        <w:jc w:val="left"/>
        <w:rPr>
          <w:color w:val="#000000"/>
          <w:sz w:val="37"/>
          <w:lang w:val="en-US"/>
          <w:spacing w:val="264"/>
          <w:w w:val="40"/>
          <w:strike w:val="false"/>
          <w:vertAlign w:val="baseline"/>
          <w:rFonts w:ascii="MingLiU" w:hAnsi="MingLiU"/>
        </w:rPr>
      </w:pPr>
      <w:r>
        <w:pict>
          <v:line strokeweight="0.2pt" strokecolor="#000000" from="21.75pt,2.7pt" to="21.75pt,3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7"/>
          <w:lang w:val="en-US"/>
          <w:spacing w:val="264"/>
          <w:w w:val="40"/>
          <w:strike w:val="false"/>
          <w:vertAlign w:val="baseline"/>
          <w:rFonts w:ascii="MingLiU" w:hAnsi="MingLiU"/>
        </w:rPr>
        <w:t xml:space="preserve">'</w:t>
      </w:r>
      <w:r>
        <w:rPr>
          <w:color w:val="#000000"/>
          <w:sz w:val="37"/>
          <w:lang w:val="en-US"/>
          <w:spacing w:val="264"/>
          <w:w w:val="4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37"/>
          <w:lang w:val="en-US"/>
          <w:spacing w:val="264"/>
          <w:w w:val="4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37"/>
          <w:lang w:val="en-US"/>
          <w:spacing w:val="264"/>
          <w:w w:val="4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37"/>
          <w:lang w:val="en-US"/>
          <w:spacing w:val="264"/>
          <w:w w:val="40"/>
          <w:strike w:val="false"/>
          <w:vertAlign w:val="baseline"/>
          <w:rFonts w:ascii="MingLiU" w:hAnsi="MingLiU"/>
        </w:rPr>
        <w:t xml:space="preserve">一—</w:t>
      </w:r>
      <w:r>
        <w:rPr>
          <w:color w:val="#000000"/>
          <w:sz w:val="37"/>
          <w:lang w:val="en-US"/>
          <w:spacing w:val="264"/>
          <w:w w:val="4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37"/>
          <w:lang w:val="en-US"/>
          <w:spacing w:val="264"/>
          <w:w w:val="4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nextPage"/>
          <w:textDirection w:val="lrTb"/>
          <w:pgMar w:bottom="5324" w:top="0" w:right="5023" w:left="0" w:header="720" w:footer="720"/>
          <w:titlePg w:val="false"/>
        </w:sectPr>
      </w:pPr>
    </w:p>
    <w:p>
      <w:pPr>
        <w:ind w:right="72" w:left="1224" w:firstLine="0"/>
        <w:spacing w:before="36" w:after="0" w:line="240" w:lineRule="auto"/>
        <w:jc w:val="both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醒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述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224" w:firstLine="0"/>
        <w:spacing w:before="36" w:after="0" w:line="196" w:lineRule="auto"/>
        <w:jc w:val="left"/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MingLiU" w:hAnsi="MingLiU"/>
        </w:rPr>
        <w:t xml:space="preserve">話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864" w:firstLine="0"/>
        <w:spacing w:before="0" w:after="0" w:line="240" w:lineRule="auto"/>
        <w:jc w:val="both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醒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描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述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訊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話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站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站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864" w:firstLine="-864"/>
        <w:spacing w:before="36" w:after="0" w:line="240" w:lineRule="auto"/>
        <w:jc w:val="both"/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教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育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訓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練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贊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門</w:t>
      </w:r>
      <w:r>
        <w:rPr>
          <w:color w:val="#000000"/>
          <w:sz w:val="18"/>
          <w:lang w:val="en-US"/>
          <w:spacing w:val="35"/>
          <w:w w:val="100"/>
          <w:strike w:val="false"/>
          <w:vertAlign w:val="baseline"/>
          <w:rFonts w:ascii="MingLiU" w:hAnsi="MingLiU"/>
        </w:rPr>
        <w:t xml:space="preserve">檻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境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魷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教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練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864" w:firstLine="0"/>
        <w:spacing w:before="0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72" w:left="864" w:firstLine="0"/>
        <w:spacing w:before="0" w:after="0" w:line="240" w:lineRule="auto"/>
        <w:jc w:val="both"/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境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構·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864" w:firstLine="0"/>
        <w:spacing w:before="36" w:after="0" w:line="240" w:lineRule="auto"/>
        <w:jc w:val="left"/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之“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864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1296" w:firstLine="-360"/>
        <w:spacing w:before="0" w:after="0" w:line="240" w:lineRule="auto"/>
        <w:jc w:val="both"/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涉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教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訓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練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櫃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致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就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936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採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閒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網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頁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郵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件·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簡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訊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936" w:firstLine="0"/>
        <w:spacing w:before="0" w:after="252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四·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continuous"/>
          <w:textDirection w:val="lrTb"/>
          <w:pgMar w:bottom="5324" w:top="0" w:right="4352" w:left="1526" w:header="720" w:footer="720"/>
          <w:titlePg w:val="false"/>
        </w:sectPr>
      </w:pPr>
    </w:p>
    <w:p>
      <w:pPr>
        <w:ind w:right="0" w:left="0" w:firstLine="0"/>
        <w:spacing w:before="0" w:after="0" w:line="295" w:lineRule="auto"/>
        <w:jc w:val="center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一8</w: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continuous"/>
          <w:textDirection w:val="lrTb"/>
          <w:pgMar w:bottom="5324" w:top="0" w:right="5023" w:left="1795" w:header="720" w:footer="720"/>
          <w:titlePg w:val="false"/>
        </w:sectPr>
      </w:pPr>
    </w:p>
    <w:p>
      <w:pPr>
        <w:ind w:right="0" w:left="216" w:firstLine="0"/>
        <w:spacing w:before="0" w:after="0" w:line="240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p.545</w:t>
      </w:r>
    </w:p>
    <w:p>
      <w:pPr>
        <w:ind w:right="0" w:left="288" w:firstLine="0"/>
        <w:spacing w:before="144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88" w:firstLine="0"/>
        <w:spacing w:before="72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216" w:after="0" w:line="208" w:lineRule="auto"/>
        <w:jc w:val="left"/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99.6.24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0990033647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72" w:after="0" w:line="211" w:lineRule="auto"/>
        <w:jc w:val="left"/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99. 12.30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0990062018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72" w:after="0" w:line="240" w:lineRule="auto"/>
        <w:jc w:val="left"/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101.6.2 1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1010026680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648" w:firstLine="-432"/>
        <w:spacing w:before="36" w:after="0" w:line="240" w:lineRule="auto"/>
        <w:jc w:val="left"/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一·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條·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條·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1224" w:firstLine="-576"/>
        <w:spacing w:before="36" w:after="0" w:line="240" w:lineRule="auto"/>
        <w:jc w:val="both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部·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漁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部·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郵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1224" w:firstLine="-576"/>
        <w:spacing w:before="0" w:after="0" w:line="240" w:lineRule="auto"/>
        <w:jc w:val="both"/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北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北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板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橋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區·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和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永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和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區·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莊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區·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店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城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廬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洲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區·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MingLiU" w:hAnsi="MingLiU"/>
        </w:rPr>
        <w:t xml:space="preserve">樹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林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汐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止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峽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林p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區·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淡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水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物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1224" w:firstLine="-576"/>
        <w:spacing w:before="0" w:after="0" w:line="240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歹J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1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1368" w:firstLine="0"/>
        <w:spacing w:before="72" w:after="0" w:line="240" w:lineRule="auto"/>
        <w:jc w:val="left"/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。</w:t>
      </w:r>
    </w:p>
    <w:p>
      <w:pPr>
        <w:ind w:right="216" w:left="1368" w:firstLine="-144"/>
        <w:spacing w:before="0" w:after="0" w:line="240" w:lineRule="auto"/>
        <w:jc w:val="lef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2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座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落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北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北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1224" w:firstLine="-576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792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576" w:firstLine="-360"/>
        <w:spacing w:before="0" w:after="0" w:line="240" w:lineRule="auto"/>
        <w:jc w:val="both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三·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微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「1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88" w:left="1224" w:firstLine="-576"/>
        <w:spacing w:before="0" w:after="108" w:line="240" w:lineRule="auto"/>
        <w:jc w:val="lef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繕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周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sectPr>
          <w:pgSz w:w="11918" w:h="16854" w:orient="portrait"/>
          <w:type w:val="nextPage"/>
          <w:textDirection w:val="lrTb"/>
          <w:pgMar w:bottom="5294" w:top="1050" w:right="4530" w:left="493" w:header="720" w:footer="720"/>
          <w:titlePg w:val="false"/>
        </w:sectPr>
      </w:pPr>
    </w:p>
    <w:p>
      <w:pPr>
        <w:ind w:right="0" w:left="0" w:firstLine="0"/>
        <w:spacing w:before="0" w:after="0" w:line="290" w:lineRule="auto"/>
        <w:jc w:val="center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一9</w: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continuous"/>
          <w:textDirection w:val="lrTb"/>
          <w:pgMar w:bottom="5294" w:top="1050" w:right="5442" w:left="1376" w:header="720" w:footer="720"/>
          <w:titlePg w:val="false"/>
        </w:sectPr>
      </w:pPr>
    </w:p>
    <w:p>
      <w:pPr>
        <w:ind w:right="216" w:left="1296" w:firstLine="0"/>
        <w:spacing w:before="0" w:after="0" w:line="290" w:lineRule="exact"/>
        <w:jc w:val="left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219.05pt;height:4.85pt;z-index:-999;margin-left:0pt;margin-top:0pt;mso-wrap-distance-bottom:44.1pt;mso-wrap-distance-left:0pt;mso-wrap-distance-right:161.2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97" w:lineRule="exact"/>
                    <w:jc w:val="center"/>
                  </w:pPr>
                  <w:r>
                    <w:drawing>
                      <wp:inline>
                        <wp:extent cx="2781935" cy="6159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1935" cy="61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2pt" strokecolor="#000000" from="86.4pt,1.25pt" to="86.4pt,4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nextPage"/>
          <w:textDirection w:val="lrTb"/>
          <w:pgMar w:bottom="5304" w:top="0" w:right="4253" w:left="0" w:header="720" w:footer="720"/>
          <w:titlePg w:val="false"/>
        </w:sectPr>
      </w:pPr>
    </w:p>
    <w:p>
      <w:pPr>
        <w:ind w:right="576" w:left="648" w:firstLine="-504"/>
        <w:spacing w:before="0" w:after="0" w:line="260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1152" w:firstLine="-504"/>
        <w:spacing w:before="0" w:after="0" w:line="268" w:lineRule="exact"/>
        <w:jc w:val="left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較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低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7"/>
          <w:lang w:val="en-US"/>
          <w:spacing w:val="30"/>
          <w:w w:val="115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30"/>
          <w:w w:val="115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7"/>
          <w:lang w:val="en-US"/>
          <w:spacing w:val="30"/>
          <w:w w:val="115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7"/>
          <w:lang w:val="en-US"/>
          <w:spacing w:val="30"/>
          <w:w w:val="115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432" w:left="1152" w:firstLine="-504"/>
        <w:spacing w:before="0" w:after="0" w:line="249" w:lineRule="exact"/>
        <w:jc w:val="left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繕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44" w:firstLine="0"/>
        <w:spacing w:before="0" w:after="0" w:line="218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0" w:firstLine="0"/>
        <w:spacing w:before="0" w:after="0" w:line="230" w:lineRule="exact"/>
        <w:jc w:val="righ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224" w:firstLine="0"/>
        <w:spacing w:before="0" w:after="0" w:line="199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0" w:firstLine="0"/>
        <w:spacing w:before="0" w:after="0" w:line="289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較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224" w:firstLine="0"/>
        <w:spacing w:before="0" w:after="0" w:line="270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0" w:firstLine="0"/>
        <w:spacing w:before="0" w:after="0" w:line="260" w:lineRule="exact"/>
        <w:jc w:val="righ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224" w:firstLine="0"/>
        <w:spacing w:before="0" w:after="0" w:line="197" w:lineRule="exact"/>
        <w:jc w:val="left"/>
        <w:rPr>
          <w:color w:val="#000000"/>
          <w:sz w:val="19"/>
          <w:lang w:val="en-US"/>
          <w:spacing w:val="14"/>
          <w:w w:val="11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14"/>
          <w:w w:val="11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9"/>
          <w:lang w:val="en-US"/>
          <w:spacing w:val="14"/>
          <w:w w:val="11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14"/>
          <w:w w:val="11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9"/>
          <w:lang w:val="en-US"/>
          <w:spacing w:val="14"/>
          <w:w w:val="11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648" w:firstLine="0"/>
        <w:spacing w:before="0" w:after="0" w:line="280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20" w:firstLine="0"/>
        <w:spacing w:before="0" w:after="0" w:line="262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20" w:firstLine="0"/>
        <w:spacing w:before="0" w:after="0" w:line="272" w:lineRule="exact"/>
        <w:jc w:val="left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0" w:firstLine="0"/>
        <w:spacing w:before="0" w:after="180" w:line="240" w:lineRule="auto"/>
        <w:jc w:val="right"/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資·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90" w:lineRule="exact"/>
        <w:jc w:val="righ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轉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648" w:firstLine="0"/>
        <w:spacing w:before="0" w:after="0" w:line="251" w:lineRule="exact"/>
        <w:jc w:val="lef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69.05pt;height:32.4pt;z-index:-998;margin-left:272.7pt;margin-top:1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52" w:after="108" w:line="240" w:lineRule="auto"/>
                    <w:jc w:val="center"/>
                    <w:framePr w:hAnchor="text" w:vAnchor="text" w:x="5454" w:y="23" w:w="1381" w:h="648" w:hSpace="0" w:vSpace="0" w:wrap="3"/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確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實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78" w:lineRule="exact"/>
        <w:jc w:val="righ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648" w:firstLine="0"/>
        <w:spacing w:before="0" w:after="72" w:line="180" w:lineRule="exact"/>
        <w:jc w:val="lef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648" w:firstLine="0"/>
        <w:spacing w:before="36" w:after="0" w:line="266" w:lineRule="auto"/>
        <w:jc w:val="both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零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填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648" w:firstLine="0"/>
        <w:spacing w:before="0" w:after="0" w:line="204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648" w:firstLine="0"/>
        <w:spacing w:before="0" w:after="0" w:line="266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648" w:firstLine="0"/>
        <w:spacing w:before="0" w:after="0" w:line="216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短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都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劃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648" w:firstLine="0"/>
        <w:spacing w:before="0" w:after="360" w:line="264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continuous"/>
          <w:textDirection w:val="lrTb"/>
          <w:pgMar w:bottom="5304" w:top="0" w:right="4171" w:left="770" w:header="720" w:footer="720"/>
          <w:titlePg w:val="false"/>
        </w:sectPr>
      </w:pPr>
    </w:p>
    <w:p>
      <w:pPr>
        <w:ind w:right="0" w:left="0" w:firstLine="0"/>
        <w:spacing w:before="0" w:after="0" w:line="189" w:lineRule="auto"/>
        <w:jc w:val="center"/>
        <w:rPr>
          <w:color w:val="#000000"/>
          <w:sz w:val="16"/>
          <w:lang w:val="en-US"/>
          <w:spacing w:val="2"/>
          <w:w w:val="125"/>
          <w:strike w:val="false"/>
          <w:vertAlign w:val="baseline"/>
          <w:rFonts w:ascii="MingLiU" w:hAnsi="MingLiU"/>
        </w:rPr>
      </w:pPr>
      <w:r>
        <w:rPr>
          <w:color w:val="#000000"/>
          <w:sz w:val="16"/>
          <w:lang w:val="en-US"/>
          <w:spacing w:val="2"/>
          <w:w w:val="125"/>
          <w:strike w:val="false"/>
          <w:vertAlign w:val="baseline"/>
          <w:rFonts w:ascii="MingLiU" w:hAnsi="MingLiU"/>
        </w:rPr>
        <w:t xml:space="preserve">一10</w:t>
      </w:r>
      <w:r>
        <w:rPr>
          <w:color w:val="#000000"/>
          <w:sz w:val="16"/>
          <w:lang w:val="en-US"/>
          <w:spacing w:val="2"/>
          <w:w w:val="125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continuous"/>
          <w:textDirection w:val="lrTb"/>
          <w:pgMar w:bottom="5304" w:top="0" w:right="5043" w:left="1775" w:header="720" w:footer="720"/>
          <w:titlePg w:val="false"/>
        </w:sectPr>
      </w:pPr>
    </w:p>
    <w:p>
      <w:pPr>
        <w:ind w:right="0" w:left="288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p.547</w:t>
      </w:r>
    </w:p>
    <w:p>
      <w:pPr>
        <w:ind w:right="0" w:left="360" w:firstLine="0"/>
        <w:spacing w:before="144" w:after="0" w:line="240" w:lineRule="auto"/>
        <w:jc w:val="lef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1152" w:firstLine="-936"/>
        <w:spacing w:before="72" w:after="0" w:line="240" w:lineRule="auto"/>
        <w:jc w:val="left"/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既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88" w:firstLine="0"/>
        <w:spacing w:before="216" w:after="0" w:line="240" w:lineRule="auto"/>
        <w:jc w:val="left"/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101.5. 15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1010021109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864" w:firstLine="-648"/>
        <w:spacing w:before="72" w:after="0" w:line="240" w:lineRule="auto"/>
        <w:jc w:val="both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 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3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第3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此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864" w:firstLine="-648"/>
        <w:spacing w:before="0" w:after="0" w:line="240" w:lineRule="auto"/>
        <w:jc w:val="left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落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就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應liL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一·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途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52" w:left="0" w:firstLine="0"/>
        <w:spacing w:before="36" w:after="0" w:line="240" w:lineRule="auto"/>
        <w:jc w:val="righ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Arial" w:hAnsi="Arial"/>
        </w:rPr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均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第3</w:t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Arial" w:hAnsi="Arial"/>
        </w:rPr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6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回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Arial" w:hAnsi="Arial"/>
        </w:rPr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1224" w:firstLine="-360"/>
        <w:spacing w:before="0" w:after="0" w:line="240" w:lineRule="auto"/>
        <w:jc w:val="lef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既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後1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</w:p>
    <w:p>
      <w:pPr>
        <w:ind w:right="0" w:left="216" w:firstLine="0"/>
        <w:spacing w:before="252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p.548</w:t>
      </w:r>
    </w:p>
    <w:p>
      <w:pPr>
        <w:ind w:right="0" w:left="288" w:firstLine="0"/>
        <w:spacing w:before="108" w:after="0" w:line="240" w:lineRule="auto"/>
        <w:jc w:val="lef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1080" w:firstLine="-864"/>
        <w:spacing w:before="72" w:after="0" w:line="240" w:lineRule="auto"/>
        <w:jc w:val="both"/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第5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第3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及100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年8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月2 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216" w:after="0" w:line="240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10 1.6.6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1010024324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72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216" w:left="1800" w:firstLine="-504"/>
        <w:spacing w:before="0" w:after="252" w:line="240" w:lineRule="auto"/>
        <w:jc w:val="both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第5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第3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sectPr>
          <w:pgSz w:w="11918" w:h="16854" w:orient="portrait"/>
          <w:type w:val="nextPage"/>
          <w:textDirection w:val="lrTb"/>
          <w:pgMar w:bottom="5300" w:top="1044" w:right="4428" w:left="51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color w:val="#000000"/>
          <w:sz w:val="11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一11</w:t>
      </w:r>
      <w:r>
        <w:rPr>
          <w:color w:val="#000000"/>
          <w:sz w:val="1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continuous"/>
          <w:textDirection w:val="lrTb"/>
          <w:pgMar w:bottom="5300" w:top="1044" w:right="5404" w:left="1414" w:header="720" w:footer="720"/>
          <w:titlePg w:val="false"/>
        </w:sectPr>
      </w:pPr>
    </w:p>
    <w:p>
      <w:pPr>
        <w:ind w:right="288" w:left="1728" w:firstLine="-504"/>
        <w:spacing w:before="936" w:after="0" w:line="240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2.9pt;height:32.95pt;z-index:-997;margin-left:575.4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55" w:lineRule="exact"/>
                    <w:jc w:val="left"/>
                    <w:framePr w:hAnchor="page" w:vAnchor="page" w:x="11508" w:w="58" w:h="659" w:hSpace="0" w:vSpace="0" w:wrap="3"/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刁j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煙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陋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〞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印‘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床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他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瘁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汙</w:t>
                  </w:r>
                  <w:r>
                    <w:rPr>
                      <w:color w:val="#000000"/>
                      <w:sz w:val="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文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行100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年8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月2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1000036373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活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88" w:left="1152" w:firstLine="-360"/>
        <w:spacing w:before="0" w:after="0" w:line="240" w:lineRule="auto"/>
        <w:jc w:val="both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述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兩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資·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誤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只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途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避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152" w:firstLine="0"/>
        <w:spacing w:before="72" w:after="0" w:line="240" w:lineRule="auto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“</w:t>
      </w:r>
    </w:p>
    <w:p>
      <w:pPr>
        <w:ind w:right="0" w:left="216" w:firstLine="0"/>
        <w:spacing w:before="288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p.551</w:t>
      </w:r>
    </w:p>
    <w:p>
      <w:pPr>
        <w:ind w:right="0" w:left="288" w:firstLine="0"/>
        <w:spacing w:before="108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0"/>
        <w:spacing w:before="0" w:after="0" w:line="273" w:lineRule="auto"/>
        <w:jc w:val="left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92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0"/>
        <w:spacing w:before="180" w:after="0" w:line="240" w:lineRule="auto"/>
        <w:jc w:val="left"/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艱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10 1.5.23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1010020899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貴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然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第2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92" w:firstLine="0"/>
        <w:spacing w:before="0" w:after="0" w:line="240" w:lineRule="auto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倘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92" w:firstLine="0"/>
        <w:spacing w:before="0" w:after="0" w:line="240" w:lineRule="auto"/>
        <w:jc w:val="left"/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過6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864" w:firstLine="0"/>
        <w:spacing w:before="0" w:after="0" w:line="240" w:lineRule="auto"/>
        <w:jc w:val="left"/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復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88" w:left="1224" w:firstLine="-1008"/>
        <w:spacing w:before="0" w:after="0" w:line="273" w:lineRule="auto"/>
        <w:jc w:val="both"/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然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7"/>
          <w:lang w:val="en-US"/>
          <w:spacing w:val="2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52" w:left="0" w:firstLine="0"/>
        <w:spacing w:before="0" w:after="0" w:line="264" w:lineRule="auto"/>
        <w:jc w:val="right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872" w:firstLine="0"/>
        <w:spacing w:before="0" w:after="0" w:line="192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872" w:firstLine="0"/>
        <w:spacing w:before="36" w:after="0" w:line="240" w:lineRule="auto"/>
        <w:jc w:val="left"/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三·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房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1224" w:firstLine="0"/>
        <w:spacing w:before="0" w:after="0" w:line="288" w:lineRule="auto"/>
        <w:jc w:val="left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360" w:firstLine="0"/>
        <w:spacing w:before="252" w:after="0" w:line="204" w:lineRule="auto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88" w:firstLine="0"/>
        <w:spacing w:before="0" w:after="216" w:line="297" w:lineRule="auto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nextPage"/>
          <w:textDirection w:val="lrTb"/>
          <w:pgMar w:bottom="5364" w:top="0" w:right="4802" w:left="139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一12</w: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continuous"/>
          <w:textDirection w:val="lrTb"/>
          <w:pgMar w:bottom="5364" w:top="0" w:right="5697" w:left="1121" w:header="720" w:footer="720"/>
          <w:titlePg w:val="false"/>
        </w:sectPr>
      </w:pPr>
    </w:p>
    <w:p>
      <w:pPr>
        <w:ind w:right="0" w:left="576" w:firstLine="0"/>
        <w:spacing w:before="1044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pict>
          <v:line strokeweight="0.2pt" strokecolor="#000000" from="283.85pt,0.25pt" to="311.45pt,0.2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400.5pt,2.3pt" to="400.5pt,2.7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10 1.5.8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1010016663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1008" w:firstLine="-1008"/>
        <w:spacing w:before="72" w:after="0" w:line="240" w:lineRule="auto"/>
        <w:jc w:val="both"/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都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都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卑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盤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討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劃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第5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2" w:firstLine="0"/>
        <w:spacing w:before="288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720" w:firstLine="-720"/>
        <w:spacing w:before="72" w:after="0" w:line="240" w:lineRule="auto"/>
        <w:jc w:val="left"/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16" w:after="36" w:line="240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10 1.6.8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1010024867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nextPage"/>
          <w:textDirection w:val="lrTb"/>
          <w:pgMar w:bottom="5270" w:top="34" w:right="4305" w:left="1084" w:header="720" w:footer="720"/>
          <w:titlePg w:val="false"/>
        </w:sectPr>
      </w:pPr>
    </w:p>
    <w:p>
      <w:pPr>
        <w:ind w:right="504" w:left="0" w:firstLine="0"/>
        <w:spacing w:before="36" w:after="0" w:line="240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48.05pt;height:168.35pt;z-index:-996;margin-left:53.3pt;margin-top:242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3024" w:line="240" w:lineRule="auto"/>
                    <w:jc w:val="left"/>
                    <w:framePr w:hAnchor="page" w:vAnchor="page" w:x="1066" w:y="4847" w:w="961" w:h="3367" w:hSpace="0" w:vSpace="0" w:wrap="3"/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說</w:t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明</w:t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：</w:t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行101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年5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月8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20"/>
          <w:lang w:val="en-US"/>
          <w:spacing w:val="2"/>
          <w:w w:val="110"/>
          <w:strike w:val="false"/>
          <w:vertAlign w:val="baseline"/>
          <w:rFonts w:ascii="Times New Roman" w:hAnsi="Times New Roman"/>
        </w:rPr>
        <w:t xml:space="preserve">1010016663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第 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5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576" w:left="0" w:firstLine="0"/>
        <w:spacing w:before="0" w:after="0" w:line="240" w:lineRule="auto"/>
        <w:jc w:val="both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乙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盤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討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至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劃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貴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至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第5 </w:t>
      </w:r>
      <w:r>
        <w:rPr>
          <w:color w:val="#000000"/>
          <w:sz w:val="17"/>
          <w:lang w:val="en-US"/>
          <w:spacing w:val="-14"/>
          <w:w w:val="115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7"/>
          <w:lang w:val="en-US"/>
          <w:spacing w:val="-14"/>
          <w:w w:val="115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-14"/>
          <w:w w:val="115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-14"/>
          <w:w w:val="115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7"/>
          <w:lang w:val="en-US"/>
          <w:spacing w:val="-14"/>
          <w:w w:val="115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7"/>
          <w:lang w:val="en-US"/>
          <w:spacing w:val="-14"/>
          <w:w w:val="115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576" w:left="864" w:firstLine="-360"/>
        <w:spacing w:before="0" w:after="0" w:line="240" w:lineRule="auto"/>
        <w:jc w:val="both"/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四·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卑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符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追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溯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行101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年5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月8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20"/>
          <w:lang w:val="en-US"/>
          <w:spacing w:val="4"/>
          <w:w w:val="110"/>
          <w:strike w:val="false"/>
          <w:vertAlign w:val="baseline"/>
          <w:rFonts w:ascii="Times New Roman" w:hAnsi="Times New Roman"/>
        </w:rPr>
        <w:t xml:space="preserve">1010016663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512" w:firstLine="0"/>
        <w:spacing w:before="0" w:after="0" w:line="199" w:lineRule="auto"/>
        <w:jc w:val="left"/>
        <w:rPr>
          <w:color w:val="#000000"/>
          <w:sz w:val="19"/>
          <w:lang w:val="en-US"/>
          <w:spacing w:val="-37"/>
          <w:w w:val="105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-37"/>
          <w:w w:val="105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9"/>
          <w:lang w:val="en-US"/>
          <w:spacing w:val="-37"/>
          <w:w w:val="105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9"/>
          <w:lang w:val="en-US"/>
          <w:spacing w:val="-37"/>
          <w:w w:val="105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360" w:firstLine="0"/>
        <w:spacing w:before="0" w:after="468" w:line="240" w:lineRule="auto"/>
        <w:jc w:val="center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至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
</w:t>
        <w:br/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continuous"/>
          <w:textDirection w:val="lrTb"/>
          <w:pgMar w:bottom="5270" w:top="34" w:right="3849" w:left="1092" w:header="720" w:footer="720"/>
          <w:titlePg w:val="false"/>
        </w:sectPr>
      </w:pPr>
    </w:p>
    <w:p>
      <w:pPr>
        <w:ind w:right="0" w:left="0" w:firstLine="0"/>
        <w:spacing w:before="0" w:after="0" w:line="216" w:lineRule="auto"/>
        <w:jc w:val="center"/>
        <w:rPr>
          <w:color w:val="#000000"/>
          <w:sz w:val="13"/>
          <w:lang w:val="en-US"/>
          <w:spacing w:val="10"/>
          <w:w w:val="13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10"/>
          <w:w w:val="130"/>
          <w:strike w:val="false"/>
          <w:vertAlign w:val="baseline"/>
          <w:rFonts w:ascii="MingLiU" w:hAnsi="MingLiU"/>
        </w:rPr>
        <w:t xml:space="preserve">一13</w:t>
      </w:r>
      <w:r>
        <w:rPr>
          <w:color w:val="#000000"/>
          <w:sz w:val="13"/>
          <w:lang w:val="en-US"/>
          <w:spacing w:val="10"/>
          <w:w w:val="130"/>
          <w:strike w:val="false"/>
          <w:vertAlign w:val="baseline"/>
          <w:rFonts w:ascii="MingLiU" w:hAnsi="MingLiU"/>
        </w:rPr>
        <w:t xml:space="preserve">一</w:t>
      </w:r>
    </w:p>
    <w:sectPr>
      <w:pgSz w:w="11918" w:h="16854" w:orient="portrait"/>
      <w:type w:val="continuous"/>
      <w:textDirection w:val="lrTb"/>
      <w:pgMar w:bottom="5270" w:top="34" w:right="5147" w:left="167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MingLiU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