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2A811C">
      <w:pPr>
        <w:pStyle w:val="900"/>
        <w:pBdr/>
        <w:spacing/>
        <w:ind/>
        <w:rPr>
          <w14:ligatures w14:val="none"/>
        </w:rPr>
      </w:pPr>
      <w:r>
        <w:rPr>
          <w:highlight w:val="none"/>
        </w:rPr>
        <w:t xml:space="preserve">Actividad 1</w:t>
      </w:r>
      <w:r>
        <w:rPr>
          <w:highlight w:val="none"/>
        </w:rPr>
      </w:r>
      <w:r>
        <w:rPr>
          <w14:ligatures w14:val="none"/>
        </w:rPr>
      </w:r>
    </w:p>
    <w:p w14:paraId="7119C73B">
      <w:pPr>
        <w:pBdr>
          <w:top w:val="none" w:color="000000" w:sz="4" w:space="0"/>
          <w:left w:val="none" w:color="000000" w:sz="4" w:space="0"/>
          <w:bottom w:val="none" w:color="000000" w:sz="4" w:space="0"/>
          <w:right w:val="none" w:color="000000" w:sz="4" w:space="0"/>
        </w:pBdr>
        <w:spacing/>
        <w:ind w:right="0" w:firstLine="0" w:left="0"/>
        <w:rPr>
          <w:rFonts w:ascii="Open Sans" w:hAnsi="Open Sans" w:eastAsia="Open Sans" w:cs="Open Sans"/>
          <w:color w:val="000000"/>
          <w:sz w:val="20"/>
          <w:szCs w:val="20"/>
          <w:highlight w:val="none"/>
        </w:rPr>
      </w:pPr>
      <w:r>
        <w:rPr>
          <w:rFonts w:ascii="Open Sans" w:hAnsi="Open Sans" w:eastAsia="Open Sans" w:cs="Open Sans"/>
          <w:color w:val="000000"/>
          <w:sz w:val="20"/>
          <w:szCs w:val="20"/>
        </w:rPr>
        <w:t xml:space="preserve">Para la empresa “SoftGal Informática S.A.” la modalidad de organización preventiva más adecuada es</w:t>
      </w:r>
      <w:r>
        <w:rPr>
          <w:rFonts w:ascii="Open Sans" w:hAnsi="Open Sans" w:eastAsia="Open Sans" w:cs="Open Sans"/>
          <w:color w:val="000000"/>
          <w:sz w:val="20"/>
          <w:szCs w:val="20"/>
        </w:rPr>
        <w:t xml:space="preserve"> un Servicio de Prevención Ajeno (SPA). Esta opción se justifica porque la empresa supera los 25 trabajadores, por lo que el empresario no puede asumir personalmente la prevención. Además, al carecer de personal con </w:t>
      </w:r>
      <w:r>
        <w:rPr>
          <w:rFonts w:ascii="Open Sans" w:hAnsi="Open Sans" w:eastAsia="Open Sans" w:cs="Open Sans"/>
          <w:color w:val="000000"/>
          <w:sz w:val="20"/>
          <w:szCs w:val="20"/>
        </w:rPr>
        <w:t xml:space="preserve">la cualificación necesaria, no es viable la designación de trabajadores ni la constitución de un servicio propio, que solo es obligatoria para empresas con más de 500 trabajadores o entre 250-500 con actividades de alto riesgo (Anexo I del RD 39/1997), lo </w:t>
      </w:r>
      <w:r>
        <w:rPr>
          <w:rFonts w:ascii="Open Sans" w:hAnsi="Open Sans" w:eastAsia="Open Sans" w:cs="Open Sans"/>
          <w:color w:val="000000"/>
          <w:sz w:val="20"/>
          <w:szCs w:val="20"/>
        </w:rPr>
        <w:t xml:space="preserve">cual no aplica al sector informático de bajo riesgo. </w:t>
      </w:r>
      <w:r>
        <w:rPr>
          <w:rFonts w:ascii="Open Sans" w:hAnsi="Open Sans" w:eastAsia="Open Sans" w:cs="Open Sans"/>
          <w:sz w:val="20"/>
          <w:szCs w:val="20"/>
        </w:rPr>
      </w:r>
      <w:r>
        <w:rPr>
          <w:rFonts w:ascii="Open Sans" w:hAnsi="Open Sans" w:eastAsia="Open Sans" w:cs="Open Sans"/>
          <w:color w:val="000000"/>
          <w:sz w:val="20"/>
          <w:szCs w:val="20"/>
          <w:highlight w:val="none"/>
        </w:rPr>
      </w:r>
    </w:p>
    <w:p w14:paraId="46344B88">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0"/>
          <w:szCs w:val="20"/>
        </w:rPr>
      </w:pPr>
      <w:r>
        <w:rPr>
          <w:rFonts w:ascii="Open Sans" w:hAnsi="Open Sans" w:eastAsia="Open Sans" w:cs="Open Sans"/>
          <w:color w:val="000000"/>
          <w:sz w:val="20"/>
          <w:szCs w:val="20"/>
        </w:rPr>
        <w:t xml:space="preserve">En cuanto a la representación de los trabajadores, le corresponde 3 Delegados de Prevención, ya que para empresas entre 101 y 500 trabajadores se designan 3. Además, al tener más de 50 trabajadores, debe constituirse un Comité </w:t>
      </w:r>
      <w:r>
        <w:rPr>
          <w:rFonts w:ascii="Open Sans" w:hAnsi="Open Sans" w:eastAsia="Open Sans" w:cs="Open Sans"/>
          <w:color w:val="000000"/>
          <w:sz w:val="20"/>
          <w:szCs w:val="20"/>
        </w:rPr>
        <w:t xml:space="preserve">de Seguridad y Salud, compuesto por los 3 Delegados de Prevención (por parte de los trabajadores) y 3 representantes del empresario.</w:t>
      </w:r>
      <w:r>
        <w:rPr>
          <w:rFonts w:ascii="Open Sans" w:hAnsi="Open Sans" w:eastAsia="Open Sans" w:cs="Open Sans"/>
          <w:sz w:val="20"/>
          <w:szCs w:val="20"/>
        </w:rPr>
      </w:r>
      <w:r>
        <w:rPr>
          <w:rFonts w:ascii="Open Sans" w:hAnsi="Open Sans" w:cs="Open Sans"/>
          <w:sz w:val="20"/>
          <w:szCs w:val="20"/>
        </w:rPr>
      </w:r>
    </w:p>
    <w:p>
      <w:pPr>
        <w:pStyle w:val="900"/>
        <w:pBdr/>
        <w:spacing/>
        <w:ind/>
        <w:rPr/>
      </w:pPr>
      <w:r>
        <w:t xml:space="preserve">Actividad 2</w:t>
      </w:r>
      <w:r/>
    </w:p>
    <w:p w14:paraId="005E1CB3">
      <w:pPr>
        <w:pBdr/>
        <w:spacing/>
        <w:ind/>
        <w:rPr>
          <w:rFonts w:ascii="Open Sans" w:hAnsi="Open Sans" w:cs="Open Sans"/>
          <w:sz w:val="20"/>
          <w:szCs w:val="20"/>
        </w:rPr>
      </w:pPr>
      <w:r>
        <w:rPr>
          <w:rFonts w:ascii="Open Sans" w:hAnsi="Open Sans" w:eastAsia="Open Sans" w:cs="Open Sans"/>
          <w:b/>
          <w:bCs/>
          <w:sz w:val="20"/>
          <w:szCs w:val="20"/>
        </w:rPr>
        <w:t xml:space="preserve">a)</w:t>
      </w:r>
      <w:r>
        <w:rPr>
          <w:rFonts w:ascii="Open Sans" w:hAnsi="Open Sans" w:eastAsia="Open Sans" w:cs="Open Sans"/>
          <w:sz w:val="20"/>
          <w:szCs w:val="20"/>
        </w:rPr>
        <w:t xml:space="preserve"> Nos encontramos ante una emergencia general por incendio. El incidente que  se inicia con humo procedente de una fotocopiadora, evolucionando rápidamente a un fuego que se propaga por la planta y afecta a otras.</w:t>
      </w:r>
      <w:r>
        <w:rPr>
          <w:rFonts w:ascii="Open Sans" w:hAnsi="Open Sans" w:eastAsia="Open Sans" w:cs="Open Sans"/>
          <w:sz w:val="20"/>
          <w:szCs w:val="20"/>
        </w:rPr>
        <w:t xml:space="preserve"> Esto hace que se requiera evacuación de los trabajadores y la intervención de medios externos, como son los bomberos.</w:t>
      </w:r>
      <w:r>
        <w:rPr>
          <w:rFonts w:ascii="Open Sans" w:hAnsi="Open Sans" w:eastAsia="Open Sans" w:cs="Open Sans"/>
          <w:sz w:val="20"/>
          <w:szCs w:val="20"/>
        </w:rPr>
      </w:r>
      <w:r>
        <w:rPr>
          <w:rFonts w:ascii="Open Sans" w:hAnsi="Open Sans" w:cs="Open Sans"/>
          <w:sz w:val="20"/>
          <w:szCs w:val="20"/>
        </w:rPr>
      </w:r>
    </w:p>
    <w:p w14:paraId="45E2EAB3">
      <w:pPr>
        <w:pBdr/>
        <w:spacing/>
        <w:ind/>
        <w:rPr>
          <w:rFonts w:ascii="Open Sans" w:hAnsi="Open Sans" w:cs="Open Sans"/>
          <w:sz w:val="20"/>
          <w:szCs w:val="20"/>
        </w:rPr>
      </w:pPr>
      <w:r>
        <w:rPr>
          <w:rFonts w:ascii="Open Sans" w:hAnsi="Open Sans" w:eastAsia="Open Sans" w:cs="Open Sans"/>
          <w:b/>
          <w:bCs/>
          <w:sz w:val="20"/>
          <w:szCs w:val="20"/>
        </w:rPr>
        <w:t xml:space="preserve">b)</w:t>
      </w:r>
      <w:r>
        <w:rPr>
          <w:rFonts w:ascii="Open Sans" w:hAnsi="Open Sans" w:eastAsia="Open Sans" w:cs="Open Sans"/>
          <w:sz w:val="20"/>
          <w:szCs w:val="20"/>
        </w:rPr>
        <w:t xml:space="preserve"> Una medida de protección colectiva presente es el dispositivo automático contra incendios, que se activa para alertar del peligro a los trabajadores y tratar de frenar la propagación del fuego.</w:t>
      </w:r>
      <w:r>
        <w:rPr>
          <w:rFonts w:ascii="Open Sans" w:hAnsi="Open Sans" w:eastAsia="Open Sans" w:cs="Open Sans"/>
          <w:sz w:val="20"/>
          <w:szCs w:val="20"/>
        </w:rPr>
      </w:r>
      <w:r>
        <w:rPr>
          <w:rFonts w:ascii="Open Sans" w:hAnsi="Open Sans" w:cs="Open Sans"/>
          <w:sz w:val="20"/>
          <w:szCs w:val="20"/>
        </w:rPr>
      </w:r>
    </w:p>
    <w:p w14:paraId="274E84C5">
      <w:pPr>
        <w:pBdr/>
        <w:spacing/>
        <w:ind/>
        <w:rPr>
          <w:rFonts w:ascii="Open Sans" w:hAnsi="Open Sans" w:eastAsia="Open Sans" w:cs="Open Sans"/>
          <w:sz w:val="20"/>
          <w:szCs w:val="20"/>
        </w:rPr>
      </w:pPr>
      <w:r>
        <w:rPr>
          <w:rFonts w:ascii="Open Sans" w:hAnsi="Open Sans" w:eastAsia="Open Sans" w:cs="Open Sans"/>
          <w:b/>
          <w:bCs/>
          <w:sz w:val="20"/>
          <w:szCs w:val="20"/>
        </w:rPr>
        <w:t xml:space="preserve">c)</w:t>
      </w:r>
      <w:r>
        <w:rPr>
          <w:rFonts w:ascii="Open Sans" w:hAnsi="Open Sans" w:eastAsia="Open Sans" w:cs="Open Sans"/>
          <w:sz w:val="20"/>
          <w:szCs w:val="20"/>
        </w:rPr>
        <w:t xml:space="preserve"> Errores cometidos por los trabajadores:</w:t>
      </w:r>
      <w:r>
        <w:rPr>
          <w:rFonts w:ascii="Open Sans" w:hAnsi="Open Sans" w:eastAsia="Open Sans" w:cs="Open Sans"/>
          <w:sz w:val="20"/>
          <w:szCs w:val="20"/>
        </w:rPr>
      </w:r>
      <w:r>
        <w:rPr>
          <w:rFonts w:ascii="Open Sans" w:hAnsi="Open Sans" w:eastAsia="Open Sans" w:cs="Open Sans"/>
          <w:sz w:val="20"/>
          <w:szCs w:val="20"/>
        </w:rPr>
      </w:r>
    </w:p>
    <w:p w14:paraId="283A4268">
      <w:pPr>
        <w:pStyle w:val="963"/>
        <w:numPr>
          <w:ilvl w:val="0"/>
          <w:numId w:val="4"/>
        </w:numPr>
        <w:pBdr/>
        <w:spacing/>
        <w:ind w:right="0"/>
        <w:rPr>
          <w:rFonts w:ascii="Open Sans" w:hAnsi="Open Sans" w:eastAsia="Open Sans" w:cs="Open Sans"/>
          <w:sz w:val="20"/>
          <w:szCs w:val="20"/>
        </w:rPr>
      </w:pPr>
      <w:r>
        <w:rPr>
          <w:rFonts w:ascii="Open Sans" w:hAnsi="Open Sans" w:eastAsia="Open Sans" w:cs="Open Sans"/>
          <w:sz w:val="20"/>
          <w:szCs w:val="20"/>
        </w:rPr>
      </w:r>
      <w:r>
        <w:rPr>
          <w:rFonts w:ascii="Open Sans" w:hAnsi="Open Sans" w:eastAsia="Open Sans" w:cs="Open Sans"/>
          <w:sz w:val="20"/>
          <w:szCs w:val="20"/>
        </w:rPr>
        <w:t xml:space="preserve">Carlos </w:t>
      </w:r>
      <w:r>
        <w:rPr>
          <w:rFonts w:ascii="Open Sans" w:hAnsi="Open Sans" w:eastAsia="Open Sans" w:cs="Open Sans"/>
          <w:sz w:val="20"/>
          <w:szCs w:val="20"/>
        </w:rPr>
        <w:t xml:space="preserve">decide volver a su despacho para recoger su chaqueta con llaves y móvil, exponiéndose innecesariamente al riesgo y retrasando la salida.</w:t>
      </w:r>
      <w:r>
        <w:rPr>
          <w:rFonts w:ascii="Open Sans" w:hAnsi="Open Sans" w:eastAsia="Open Sans" w:cs="Open Sans"/>
          <w:sz w:val="20"/>
          <w:szCs w:val="20"/>
        </w:rPr>
      </w:r>
      <w:r>
        <w:rPr>
          <w:rFonts w:ascii="Open Sans" w:hAnsi="Open Sans" w:eastAsia="Open Sans" w:cs="Open Sans"/>
          <w:sz w:val="20"/>
          <w:szCs w:val="20"/>
        </w:rPr>
      </w:r>
    </w:p>
    <w:p w14:paraId="1A0A34FA">
      <w:pPr>
        <w:pStyle w:val="963"/>
        <w:numPr>
          <w:ilvl w:val="0"/>
          <w:numId w:val="4"/>
        </w:numPr>
        <w:pBdr/>
        <w:spacing/>
        <w:ind w:right="0"/>
        <w:rPr>
          <w:rFonts w:ascii="Open Sans" w:hAnsi="Open Sans" w:eastAsia="Open Sans" w:cs="Open Sans"/>
          <w:sz w:val="20"/>
          <w:szCs w:val="20"/>
        </w:rPr>
      </w:pPr>
      <w:r>
        <w:rPr>
          <w:rFonts w:ascii="Open Sans" w:hAnsi="Open Sans" w:eastAsia="Open Sans" w:cs="Open Sans"/>
          <w:sz w:val="20"/>
          <w:szCs w:val="20"/>
        </w:rPr>
        <w:t xml:space="preserve">Los trabajadores salen corriendo t</w:t>
      </w:r>
      <w:r>
        <w:rPr>
          <w:rFonts w:ascii="Open Sans" w:hAnsi="Open Sans" w:eastAsia="Open Sans" w:cs="Open Sans"/>
          <w:sz w:val="20"/>
          <w:szCs w:val="20"/>
        </w:rPr>
        <w:t xml:space="preserve">odo lo que pueden hacia la escalera principal, lo que genera desorden y </w:t>
      </w:r>
      <w:r>
        <w:rPr>
          <w:rFonts w:ascii="Open Sans" w:hAnsi="Open Sans" w:eastAsia="Open Sans" w:cs="Open Sans"/>
          <w:sz w:val="20"/>
          <w:szCs w:val="20"/>
        </w:rPr>
        <w:t xml:space="preserve">contribuye al atasco cuando María cae.</w:t>
      </w:r>
      <w:r>
        <w:rPr>
          <w:rFonts w:ascii="Open Sans" w:hAnsi="Open Sans" w:eastAsia="Open Sans" w:cs="Open Sans"/>
          <w:sz w:val="20"/>
          <w:szCs w:val="20"/>
        </w:rPr>
      </w:r>
    </w:p>
    <w:p w14:paraId="7EDAEF38">
      <w:pPr>
        <w:pBdr/>
        <w:spacing/>
        <w:ind/>
        <w:rPr>
          <w:rFonts w:ascii="Open Sans" w:hAnsi="Open Sans" w:cs="Open Sans"/>
          <w:sz w:val="20"/>
          <w:szCs w:val="20"/>
        </w:rPr>
      </w:pPr>
      <w:r>
        <w:rPr>
          <w:rFonts w:ascii="Open Sans" w:hAnsi="Open Sans" w:eastAsia="Open Sans" w:cs="Open Sans"/>
          <w:b/>
          <w:bCs/>
          <w:sz w:val="20"/>
          <w:szCs w:val="20"/>
        </w:rPr>
        <w:t xml:space="preserve">d) </w:t>
      </w:r>
      <w:r>
        <w:rPr>
          <w:rFonts w:ascii="Open Sans" w:hAnsi="Open Sans" w:eastAsia="Open Sans" w:cs="Open Sans"/>
          <w:sz w:val="20"/>
          <w:szCs w:val="20"/>
        </w:rPr>
        <w:t xml:space="preserve">Una actuación correcta del jefe de emergencias es activar la alarma, ordenar la evacuación del edificio y comunicar el incidente al servicio de mantenimiento y a los bomberos, asegurando una respuesta coordinada y rápida.</w:t>
      </w:r>
      <w:r>
        <w:rPr>
          <w:rFonts w:ascii="Open Sans" w:hAnsi="Open Sans" w:eastAsia="Open Sans" w:cs="Open Sans"/>
          <w:sz w:val="20"/>
          <w:szCs w:val="20"/>
        </w:rPr>
      </w:r>
      <w:r>
        <w:rPr>
          <w:rFonts w:ascii="Open Sans" w:hAnsi="Open Sans" w:cs="Open Sans"/>
          <w:sz w:val="20"/>
          <w:szCs w:val="20"/>
        </w:rPr>
      </w:r>
    </w:p>
    <w:p w14:paraId="3602C749">
      <w:pPr>
        <w:pBdr/>
        <w:spacing/>
        <w:ind/>
        <w:rPr>
          <w:rFonts w:ascii="Open Sans" w:hAnsi="Open Sans" w:eastAsia="Open Sans" w:cs="Open Sans"/>
          <w:sz w:val="20"/>
          <w:szCs w:val="20"/>
        </w:rPr>
      </w:pPr>
      <w:r>
        <w:rPr>
          <w:rFonts w:ascii="Open Sans" w:hAnsi="Open Sans" w:eastAsia="Open Sans" w:cs="Open Sans"/>
          <w:b/>
          <w:bCs/>
          <w:sz w:val="20"/>
          <w:szCs w:val="20"/>
        </w:rPr>
        <w:t xml:space="preserve">e)</w:t>
      </w:r>
      <w:r>
        <w:rPr>
          <w:rFonts w:ascii="Open Sans" w:hAnsi="Open Sans" w:eastAsia="Open Sans" w:cs="Open Sans"/>
          <w:sz w:val="20"/>
          <w:szCs w:val="20"/>
        </w:rPr>
        <w:t xml:space="preserve"> Dos incumplimientos del RD 486/1997 observados son: </w:t>
      </w:r>
      <w:r>
        <w:rPr>
          <w:rFonts w:ascii="Open Sans" w:hAnsi="Open Sans" w:cs="Open Sans"/>
          <w:sz w:val="20"/>
          <w:szCs w:val="20"/>
        </w:rPr>
      </w:r>
      <w:r>
        <w:rPr>
          <w:rFonts w:ascii="Open Sans" w:hAnsi="Open Sans" w:eastAsia="Open Sans" w:cs="Open Sans"/>
          <w:sz w:val="20"/>
          <w:szCs w:val="20"/>
        </w:rPr>
      </w:r>
    </w:p>
    <w:p w14:paraId="50CFA0C2">
      <w:pPr>
        <w:pStyle w:val="963"/>
        <w:numPr>
          <w:ilvl w:val="0"/>
          <w:numId w:val="5"/>
        </w:numPr>
        <w:pBdr/>
        <w:spacing/>
        <w:ind w:right="0"/>
        <w:rPr>
          <w:bCs/>
          <w:i/>
        </w:rPr>
      </w:pPr>
      <w:r>
        <w:rPr>
          <w:rFonts w:ascii="Open Sans" w:hAnsi="Open Sans" w:eastAsia="Open Sans" w:cs="Open Sans"/>
          <w:sz w:val="20"/>
          <w:szCs w:val="20"/>
        </w:rPr>
        <w:t xml:space="preserve">Las vías de circulación y evacuación tenían obstáculos, pues una caja de material de oficina </w:t>
      </w:r>
      <w:r>
        <w:rPr>
          <w:rFonts w:ascii="Open Sans" w:hAnsi="Open Sans" w:eastAsia="Open Sans" w:cs="Open Sans"/>
          <w:sz w:val="20"/>
          <w:szCs w:val="20"/>
        </w:rPr>
        <w:t xml:space="preserve">bloquea </w:t>
      </w:r>
      <w:r>
        <w:rPr>
          <w:rFonts w:ascii="Open Sans" w:hAnsi="Open Sans" w:eastAsia="Open Sans" w:cs="Open Sans"/>
          <w:sz w:val="20"/>
          <w:szCs w:val="20"/>
        </w:rPr>
        <w:t xml:space="preserve">parcialmente el pasillo, violando el Anexo II, punto 1</w:t>
      </w:r>
      <w:r>
        <w:rPr>
          <w:rFonts w:ascii="Open Sans" w:hAnsi="Open Sans" w:eastAsia="Open Sans" w:cs="Open Sans"/>
          <w:i/>
          <w:iCs/>
          <w:sz w:val="20"/>
          <w:szCs w:val="20"/>
        </w:rPr>
        <w:t xml:space="preserve"> “</w:t>
      </w:r>
      <w:r>
        <w:rPr>
          <w:rFonts w:ascii="Open Sans" w:hAnsi="Open Sans" w:eastAsia="Open Sans" w:cs="Open Sans"/>
          <w:i/>
          <w:iCs/>
          <w:sz w:val="20"/>
          <w:szCs w:val="20"/>
        </w:rPr>
        <w:t xml:space="preserve">Las zonas de paso, salidas y vías de circulación de los lugares de trabajo y, en especial, las salidas y vías </w:t>
      </w:r>
      <w:r>
        <w:rPr>
          <w:rFonts w:ascii="Open Sans" w:hAnsi="Open Sans" w:eastAsia="Open Sans" w:cs="Open Sans"/>
          <w:i/>
          <w:iCs/>
          <w:sz w:val="20"/>
          <w:szCs w:val="20"/>
        </w:rPr>
        <w:t xml:space="preserve">de circulación previstas para la evacuación en casos de emergencia, deberán permanecer libres de obstáculos de forma que sea posible utilizarlas sin dificultades en todo momento.</w:t>
      </w:r>
      <w:r>
        <w:rPr>
          <w:rFonts w:ascii="Open Sans" w:hAnsi="Open Sans" w:eastAsia="Open Sans" w:cs="Open Sans"/>
          <w:i/>
          <w:iCs/>
          <w:sz w:val="20"/>
          <w:szCs w:val="20"/>
        </w:rPr>
        <w:t xml:space="preserve">”</w:t>
      </w:r>
      <w:r>
        <w:rPr>
          <w:rFonts w:ascii="Open Sans" w:hAnsi="Open Sans" w:eastAsia="Open Sans" w:cs="Open Sans"/>
          <w:i/>
          <w:iCs/>
          <w:sz w:val="20"/>
          <w:szCs w:val="20"/>
        </w:rPr>
        <w:t xml:space="preserve">. </w:t>
      </w:r>
      <w:r>
        <w:rPr>
          <w:rFonts w:ascii="Open Sans" w:hAnsi="Open Sans" w:eastAsia="Open Sans" w:cs="Open Sans"/>
          <w:bCs/>
          <w:i/>
          <w:sz w:val="20"/>
          <w:szCs w:val="20"/>
        </w:rPr>
      </w:r>
      <w:r>
        <w:rPr>
          <w:bCs/>
          <w:i/>
        </w:rPr>
      </w:r>
    </w:p>
    <w:p w14:paraId="1ADF9D78">
      <w:pPr>
        <w:pStyle w:val="963"/>
        <w:numPr>
          <w:ilvl w:val="0"/>
          <w:numId w:val="5"/>
        </w:numPr>
        <w:pBdr/>
        <w:spacing/>
        <w:ind w:right="0"/>
        <w:rPr/>
      </w:pPr>
      <w:r>
        <w:rPr>
          <w:rFonts w:ascii="Open Sans" w:hAnsi="Open Sans" w:eastAsia="Open Sans" w:cs="Open Sans"/>
          <w:sz w:val="20"/>
          <w:szCs w:val="20"/>
        </w:rPr>
      </w:r>
      <w:r>
        <w:rPr>
          <w:rFonts w:ascii="Open Sans" w:hAnsi="Open Sans" w:eastAsia="Open Sans" w:cs="Open Sans"/>
          <w:sz w:val="20"/>
          <w:szCs w:val="20"/>
        </w:rPr>
        <w:t xml:space="preserve">Falta de mantenimiento adecuado de equipos e instalaciones. En este caso la fotocopiadora antigua que origina el incendio, incumpliendo el Anexo II, punto 4 </w:t>
      </w:r>
      <w:r>
        <w:rPr>
          <w:rFonts w:ascii="Open Sans" w:hAnsi="Open Sans" w:eastAsia="Open Sans" w:cs="Open Sans"/>
          <w:i/>
          <w:iCs/>
          <w:sz w:val="20"/>
          <w:szCs w:val="20"/>
        </w:rPr>
        <w:t xml:space="preserve">“</w:t>
      </w:r>
      <w:r>
        <w:rPr>
          <w:rFonts w:ascii="Open Sans" w:hAnsi="Open Sans" w:eastAsia="Open Sans" w:cs="Open Sans"/>
          <w:i/>
          <w:iCs/>
          <w:sz w:val="20"/>
          <w:szCs w:val="20"/>
        </w:rPr>
        <w:t xml:space="preserve">Los lugares de trabajo y, en particular, sus instalaciones, deberán ser objeto de un mantenimiento periódico, de forma que sus condiciones de funcionamiento satisfagan siempre las especificaciones del </w:t>
      </w:r>
      <w:r>
        <w:rPr>
          <w:rFonts w:ascii="Open Sans" w:hAnsi="Open Sans" w:eastAsia="Open Sans" w:cs="Open Sans"/>
          <w:i/>
          <w:iCs/>
          <w:sz w:val="20"/>
          <w:szCs w:val="20"/>
        </w:rPr>
        <w:t xml:space="preserve">proyecto, subsanándose con rapidez las deficiencias que puedan afectar a la seguridad y salud de los </w:t>
      </w:r>
      <w:r>
        <w:rPr>
          <w:rFonts w:ascii="Open Sans" w:hAnsi="Open Sans" w:eastAsia="Open Sans" w:cs="Open Sans"/>
          <w:i/>
          <w:iCs/>
          <w:sz w:val="20"/>
          <w:szCs w:val="20"/>
        </w:rPr>
        <w:t xml:space="preserve">trabajadores.</w:t>
      </w:r>
      <w:r>
        <w:rPr>
          <w:rFonts w:ascii="Open Sans" w:hAnsi="Open Sans" w:eastAsia="Open Sans" w:cs="Open Sans"/>
          <w:i/>
          <w:iCs/>
          <w:sz w:val="20"/>
          <w:szCs w:val="20"/>
        </w:rPr>
        <w:t xml:space="preserve">”</w:t>
      </w:r>
      <w:r>
        <w:rPr>
          <w:rFonts w:ascii="Open Sans" w:hAnsi="Open Sans" w:eastAsia="Open Sans" w:cs="Open Sans"/>
          <w:sz w:val="20"/>
          <w:szCs w:val="20"/>
        </w:rPr>
      </w:r>
      <w:r/>
    </w:p>
    <w:sectPr>
      <w:headerReference w:type="default" r:id="rId9"/>
      <w:headerReference w:type="first" r:id="rId10"/>
      <w:footerReference w:type="default" r:id="rId11"/>
      <w:footerReference w:type="first" r:id="rId12"/>
      <w:footnotePr/>
      <w:endnotePr/>
      <w:type w:val="nextPage"/>
      <w:pgSz w:h="16838" w:orient="portrait" w:w="11906"/>
      <w:pgMar w:top="425" w:right="1417" w:bottom="1134" w:left="1417" w:header="454" w:footer="45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Calibri">
    <w:panose1 w:val="020F0502020204030204"/>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0183425">
    <w:pPr>
      <w:pStyle w:val="936"/>
      <w:pBdr/>
      <w:spacing/>
      <w:ind/>
      <w:jc w:val="center"/>
      <w:rPr/>
    </w:pPr>
    <w:fldSimple w:instr="PAGE \* MERGEFORMAT">
      <w:r>
        <w:t xml:space="preserve">1</w:t>
      </w:r>
    </w:fldSimple>
    <w:r/>
    <w:r/>
  </w:p>
  <w:p w14:paraId="20AD6C5B">
    <w:pPr>
      <w:pStyle w:val="93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9AB9E2">
    <w:pPr>
      <w:pStyle w:val="93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200" w:type="dxa"/>
      <w:tblW w:w="9461" w:type="dxa"/>
      <w:tblBorders/>
      <w:tblLayout w:type="fixed"/>
      <w:tblLook w:val="04A0" w:firstRow="1" w:lastRow="0" w:firstColumn="1" w:lastColumn="0" w:noHBand="0" w:noVBand="1"/>
    </w:tblPr>
    <w:tblGrid>
      <w:gridCol w:w="2350"/>
      <w:gridCol w:w="7109"/>
    </w:tblGrid>
    <w:tr>
      <w:trPr>
        <w:trHeight w:val="567"/>
      </w:trPr>
      <w:tc>
        <w:tcPr>
          <w:shd w:val="clear" w:color="ffffff" w:fill="e7e6e6"/>
          <w:tcBorders>
            <w:top w:val="single" w:color="00000a" w:sz="4" w:space="0"/>
            <w:left w:val="single" w:color="00000a" w:sz="4" w:space="0"/>
            <w:bottom w:val="single" w:color="00000a" w:sz="4" w:space="0"/>
            <w:right w:val="single" w:color="00000a" w:sz="4" w:space="0"/>
          </w:tcBorders>
          <w:tcMar>
            <w:left w:w="113" w:type="dxa"/>
            <w:top w:w="0" w:type="dxa"/>
            <w:right w:w="108" w:type="dxa"/>
            <w:bottom w:w="0" w:type="dxa"/>
          </w:tcMar>
          <w:tcW w:w="2350" w:type="dxa"/>
          <w:vAlign w:val="center"/>
          <w:textDirection w:val="lrTb"/>
          <w:noWrap w:val="false"/>
        </w:tcPr>
        <w:p w14:paraId="58FD21A5">
          <w:pPr>
            <w:pStyle w:val="934"/>
            <w:pBdr/>
            <w:tabs>
              <w:tab w:val="center" w:leader="none" w:pos="4250"/>
              <w:tab w:val="clear" w:leader="none" w:pos="8503"/>
              <w:tab w:val="right" w:leader="none" w:pos="9348"/>
            </w:tabs>
            <w:spacing w:line="240" w:lineRule="auto"/>
            <w:ind w:right="0" w:firstLine="0" w:left="0"/>
            <w:jc w:val="center"/>
            <w:rPr>
              <w:rFonts w:ascii="Calibri" w:hAnsi="Calibri" w:cs="Calibri"/>
              <w:b/>
              <w:i w:val="0"/>
              <w:sz w:val="28"/>
              <w:szCs w:val="28"/>
            </w:rPr>
          </w:pPr>
          <w:r>
            <w:rPr>
              <w:rFonts w:ascii="Calibri" w:hAnsi="Calibri" w:cs="Calibri"/>
              <w:b/>
              <w:i w:val="0"/>
              <w:sz w:val="28"/>
              <w:szCs w:val="28"/>
            </w:rPr>
            <w:t xml:space="preserve">IPE</w:t>
          </w:r>
          <w:r>
            <w:rPr>
              <w:rFonts w:ascii="Calibri" w:hAnsi="Calibri" w:cs="Calibri"/>
              <w:b/>
              <w:i w:val="0"/>
              <w:sz w:val="28"/>
              <w:szCs w:val="28"/>
            </w:rPr>
          </w:r>
          <w:r>
            <w:rPr>
              <w:rFonts w:ascii="Calibri" w:hAnsi="Calibri" w:cs="Calibri"/>
              <w:b/>
              <w:i w:val="0"/>
              <w:sz w:val="28"/>
              <w:szCs w:val="28"/>
            </w:rPr>
          </w:r>
        </w:p>
        <w:p w14:paraId="4396850B">
          <w:pPr>
            <w:pStyle w:val="934"/>
            <w:pBdr/>
            <w:tabs>
              <w:tab w:val="center" w:leader="none" w:pos="4250"/>
              <w:tab w:val="center" w:leader="none" w:pos="4250"/>
              <w:tab w:val="center" w:leader="none" w:pos="4250"/>
              <w:tab w:val="right" w:leader="none" w:pos="8503"/>
              <w:tab w:val="right" w:leader="none" w:pos="8503"/>
            </w:tabs>
            <w:spacing w:line="240" w:lineRule="auto"/>
            <w:ind w:right="0" w:firstLine="0" w:left="-111"/>
            <w:jc w:val="center"/>
            <w:rPr>
              <w:rFonts w:ascii="Calibri" w:hAnsi="Calibri" w:cs="Calibri"/>
              <w:i w:val="0"/>
              <w:sz w:val="28"/>
              <w:szCs w:val="28"/>
            </w:rPr>
          </w:pPr>
          <w:r>
            <w:rPr>
              <w:rFonts w:ascii="Calibri" w:hAnsi="Calibri" w:cs="Calibri"/>
              <w:i w:val="0"/>
              <w:sz w:val="28"/>
              <w:szCs w:val="28"/>
            </w:rPr>
            <w:t xml:space="preserve">1ºDAW</w:t>
          </w:r>
          <w:r>
            <w:rPr>
              <w:rFonts w:ascii="Calibri" w:hAnsi="Calibri" w:cs="Calibri"/>
              <w:i w:val="0"/>
              <w:sz w:val="28"/>
              <w:szCs w:val="28"/>
            </w:rPr>
          </w:r>
          <w:r>
            <w:rPr>
              <w:rFonts w:ascii="Calibri" w:hAnsi="Calibri" w:cs="Calibri"/>
              <w:i w:val="0"/>
              <w:sz w:val="28"/>
              <w:szCs w:val="28"/>
            </w:rPr>
          </w:r>
        </w:p>
      </w:tc>
      <w:tc>
        <w:tcPr>
          <w:shd w:val="clear" w:color="ffffff" w:fill="ffffff"/>
          <w:tcBorders>
            <w:top w:val="single" w:color="00000a" w:sz="4" w:space="0"/>
            <w:left w:val="single" w:color="00000a" w:sz="4" w:space="0"/>
            <w:bottom w:val="single" w:color="00000a" w:sz="4" w:space="0"/>
            <w:right w:val="single" w:color="00000a" w:sz="4" w:space="0"/>
          </w:tcBorders>
          <w:tcMar>
            <w:left w:w="113" w:type="dxa"/>
            <w:top w:w="0" w:type="dxa"/>
            <w:right w:w="108" w:type="dxa"/>
            <w:bottom w:w="0" w:type="dxa"/>
          </w:tcMar>
          <w:tcW w:w="7109" w:type="dxa"/>
          <w:textDirection w:val="lrTb"/>
          <w:noWrap w:val="false"/>
        </w:tcPr>
        <w:p w14:paraId="5885CE8B">
          <w:pPr>
            <w:pStyle w:val="934"/>
            <w:pBdr/>
            <w:tabs>
              <w:tab w:val="center" w:leader="none" w:pos="4250"/>
              <w:tab w:val="right" w:leader="none" w:pos="8503"/>
            </w:tabs>
            <w:spacing w:line="240" w:lineRule="auto"/>
            <w:ind/>
            <w:jc w:val="right"/>
            <w:rPr>
              <w:b/>
              <w:bCs/>
            </w:rPr>
          </w:pPr>
          <w:r>
            <w:rPr>
              <w:b/>
            </w:rPr>
            <w:t xml:space="preserve">Unidad 2 – </w:t>
          </w:r>
          <w:r>
            <w:rPr>
              <w:b/>
              <w:bCs/>
            </w:rPr>
            <w:t xml:space="preserve">Gestión de la prevención y primeros auxílios</w:t>
          </w:r>
          <w:r>
            <w:rPr>
              <w:b/>
              <w:bCs/>
            </w:rPr>
          </w:r>
          <w:r>
            <w:rPr>
              <w:b/>
              <w:bCs/>
            </w:rPr>
          </w:r>
        </w:p>
        <w:p w14:paraId="216DADBE">
          <w:pPr>
            <w:pStyle w:val="934"/>
            <w:pBdr/>
            <w:tabs>
              <w:tab w:val="center" w:leader="none" w:pos="4250"/>
              <w:tab w:val="right" w:leader="none" w:pos="8503"/>
            </w:tabs>
            <w:spacing w:line="240" w:lineRule="auto"/>
            <w:ind/>
            <w:jc w:val="right"/>
            <w:rPr>
              <w:lang w:val="es-ES"/>
            </w:rPr>
          </w:pPr>
          <w:r>
            <w:rPr>
              <w:lang w:val="es-ES"/>
            </w:rPr>
            <w:t xml:space="preserve">Brian Artur Faro</w:t>
          </w:r>
          <w:r>
            <w:rPr>
              <w:lang w:val="es-ES"/>
            </w:rPr>
          </w:r>
          <w:r>
            <w:rPr>
              <w:lang w:val="es-ES"/>
            </w:rPr>
          </w:r>
        </w:p>
      </w:tc>
    </w:tr>
  </w:tbl>
  <w:p w14:paraId="4DAE28F6">
    <w:pPr>
      <w:pStyle w:val="934"/>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6D7430">
    <w:pPr>
      <w:pStyle w:val="93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A9DC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E7CC4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51E8F08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E2A973D"/>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
    <w:nsid w:val="3AB7D12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4">
    <w:name w:val="Table Grid"/>
    <w:basedOn w:val="96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Table Grid Light"/>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1"/>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2"/>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3"/>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4"/>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5"/>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w:basedOn w:val="9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1"/>
    <w:basedOn w:val="9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2"/>
    <w:basedOn w:val="9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3"/>
    <w:basedOn w:val="9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4"/>
    <w:basedOn w:val="9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5"/>
    <w:basedOn w:val="9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6"/>
    <w:basedOn w:val="9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w:basedOn w:val="9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1"/>
    <w:basedOn w:val="9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5"/>
    <w:basedOn w:val="9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6"/>
    <w:basedOn w:val="9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w:basedOn w:val="9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1"/>
    <w:basedOn w:val="9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5"/>
    <w:basedOn w:val="9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6"/>
    <w:basedOn w:val="9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w:basedOn w:val="9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1"/>
    <w:basedOn w:val="9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2"/>
    <w:basedOn w:val="9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3"/>
    <w:basedOn w:val="9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4"/>
    <w:basedOn w:val="9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5"/>
    <w:basedOn w:val="9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6"/>
    <w:basedOn w:val="9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Accent 1"/>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2"/>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3"/>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4"/>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5"/>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6"/>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6 Colorful"/>
    <w:basedOn w:val="9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7">
    <w:name w:val="Grid Table 6 Colorful - Accent 1"/>
    <w:basedOn w:val="9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8">
    <w:name w:val="Grid Table 6 Colorful - Accent 2"/>
    <w:basedOn w:val="9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9">
    <w:name w:val="Grid Table 6 Colorful - Accent 3"/>
    <w:basedOn w:val="9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0">
    <w:name w:val="Grid Table 6 Colorful - Accent 4"/>
    <w:basedOn w:val="9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1">
    <w:name w:val="Grid Table 6 Colorful - Accent 5"/>
    <w:basedOn w:val="9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2">
    <w:name w:val="Grid Table 6 Colorful - Accent 6"/>
    <w:basedOn w:val="9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3">
    <w:name w:val="Grid Table 7 Colorful"/>
    <w:basedOn w:val="9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1"/>
    <w:basedOn w:val="9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5"/>
    <w:basedOn w:val="9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6"/>
    <w:basedOn w:val="9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1"/>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2"/>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3"/>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4"/>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5"/>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6"/>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w:basedOn w:val="9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1"/>
    <w:basedOn w:val="9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2"/>
    <w:basedOn w:val="9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3"/>
    <w:basedOn w:val="9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4"/>
    <w:basedOn w:val="9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5"/>
    <w:basedOn w:val="9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6"/>
    <w:basedOn w:val="9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w:basedOn w:val="9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1"/>
    <w:basedOn w:val="9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2"/>
    <w:basedOn w:val="9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3"/>
    <w:basedOn w:val="9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4"/>
    <w:basedOn w:val="9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5"/>
    <w:basedOn w:val="9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6"/>
    <w:basedOn w:val="9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w:basedOn w:val="9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1"/>
    <w:basedOn w:val="9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2"/>
    <w:basedOn w:val="9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3"/>
    <w:basedOn w:val="9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4"/>
    <w:basedOn w:val="9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5"/>
    <w:basedOn w:val="9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6"/>
    <w:basedOn w:val="9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5 Dark"/>
    <w:basedOn w:val="9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1"/>
    <w:basedOn w:val="9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2"/>
    <w:basedOn w:val="9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3"/>
    <w:basedOn w:val="9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4"/>
    <w:basedOn w:val="9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5"/>
    <w:basedOn w:val="9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6"/>
    <w:basedOn w:val="9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6 Colorful"/>
    <w:basedOn w:val="9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1"/>
    <w:basedOn w:val="9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2"/>
    <w:basedOn w:val="9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3"/>
    <w:basedOn w:val="9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4"/>
    <w:basedOn w:val="9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5"/>
    <w:basedOn w:val="9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6"/>
    <w:basedOn w:val="9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7 Colorful"/>
    <w:basedOn w:val="9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3">
    <w:name w:val="List Table 7 Colorful - Accent 1"/>
    <w:basedOn w:val="9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4">
    <w:name w:val="List Table 7 Colorful - Accent 2"/>
    <w:basedOn w:val="9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5">
    <w:name w:val="List Table 7 Colorful - Accent 3"/>
    <w:basedOn w:val="9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6">
    <w:name w:val="List Table 7 Colorful - Accent 4"/>
    <w:basedOn w:val="9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7">
    <w:name w:val="List Table 7 Colorful - Accent 5"/>
    <w:basedOn w:val="9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8">
    <w:name w:val="List Table 7 Colorful - Accent 6"/>
    <w:basedOn w:val="9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9">
    <w:name w:val="Lined - Accent"/>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1"/>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2"/>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3"/>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4"/>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5"/>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6"/>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w:basedOn w:val="9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1"/>
    <w:basedOn w:val="9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2"/>
    <w:basedOn w:val="9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3"/>
    <w:basedOn w:val="9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4"/>
    <w:basedOn w:val="9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5"/>
    <w:basedOn w:val="9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6"/>
    <w:basedOn w:val="9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w:basedOn w:val="9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1"/>
    <w:basedOn w:val="9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2"/>
    <w:basedOn w:val="9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3"/>
    <w:basedOn w:val="9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4"/>
    <w:basedOn w:val="9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5"/>
    <w:basedOn w:val="9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6"/>
    <w:basedOn w:val="9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0">
    <w:name w:val="Heading 1"/>
    <w:basedOn w:val="959"/>
    <w:next w:val="959"/>
    <w:link w:val="91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1">
    <w:name w:val="Heading 2"/>
    <w:basedOn w:val="959"/>
    <w:next w:val="959"/>
    <w:link w:val="91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2">
    <w:name w:val="Heading 3"/>
    <w:basedOn w:val="959"/>
    <w:next w:val="959"/>
    <w:link w:val="91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3">
    <w:name w:val="Heading 4"/>
    <w:basedOn w:val="959"/>
    <w:next w:val="959"/>
    <w:link w:val="91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4">
    <w:name w:val="Heading 5"/>
    <w:basedOn w:val="959"/>
    <w:next w:val="959"/>
    <w:link w:val="91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5">
    <w:name w:val="Heading 6"/>
    <w:basedOn w:val="959"/>
    <w:next w:val="959"/>
    <w:link w:val="91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6">
    <w:name w:val="Heading 7"/>
    <w:basedOn w:val="959"/>
    <w:next w:val="959"/>
    <w:link w:val="91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7">
    <w:name w:val="Heading 8"/>
    <w:basedOn w:val="959"/>
    <w:next w:val="959"/>
    <w:link w:val="91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8">
    <w:name w:val="Heading 9"/>
    <w:basedOn w:val="959"/>
    <w:next w:val="959"/>
    <w:link w:val="91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9" w:default="1">
    <w:name w:val="Default Paragraph Font"/>
    <w:uiPriority w:val="1"/>
    <w:semiHidden/>
    <w:unhideWhenUsed/>
    <w:pPr>
      <w:pBdr/>
      <w:spacing/>
      <w:ind/>
    </w:pPr>
  </w:style>
  <w:style w:type="character" w:styleId="910">
    <w:name w:val="Heading 1 Char"/>
    <w:basedOn w:val="909"/>
    <w:link w:val="900"/>
    <w:uiPriority w:val="9"/>
    <w:pPr>
      <w:pBdr/>
      <w:spacing/>
      <w:ind/>
    </w:pPr>
    <w:rPr>
      <w:rFonts w:ascii="Arial" w:hAnsi="Arial" w:eastAsia="Arial" w:cs="Arial"/>
      <w:color w:val="0f4761" w:themeColor="accent1" w:themeShade="BF"/>
      <w:sz w:val="40"/>
      <w:szCs w:val="40"/>
    </w:rPr>
  </w:style>
  <w:style w:type="character" w:styleId="911">
    <w:name w:val="Heading 2 Char"/>
    <w:basedOn w:val="909"/>
    <w:link w:val="901"/>
    <w:uiPriority w:val="9"/>
    <w:pPr>
      <w:pBdr/>
      <w:spacing/>
      <w:ind/>
    </w:pPr>
    <w:rPr>
      <w:rFonts w:ascii="Arial" w:hAnsi="Arial" w:eastAsia="Arial" w:cs="Arial"/>
      <w:color w:val="0f4761" w:themeColor="accent1" w:themeShade="BF"/>
      <w:sz w:val="32"/>
      <w:szCs w:val="32"/>
    </w:rPr>
  </w:style>
  <w:style w:type="character" w:styleId="912">
    <w:name w:val="Heading 3 Char"/>
    <w:basedOn w:val="909"/>
    <w:link w:val="902"/>
    <w:uiPriority w:val="9"/>
    <w:pPr>
      <w:pBdr/>
      <w:spacing/>
      <w:ind/>
    </w:pPr>
    <w:rPr>
      <w:rFonts w:ascii="Arial" w:hAnsi="Arial" w:eastAsia="Arial" w:cs="Arial"/>
      <w:color w:val="0f4761" w:themeColor="accent1" w:themeShade="BF"/>
      <w:sz w:val="28"/>
      <w:szCs w:val="28"/>
    </w:rPr>
  </w:style>
  <w:style w:type="character" w:styleId="913">
    <w:name w:val="Heading 4 Char"/>
    <w:basedOn w:val="909"/>
    <w:link w:val="903"/>
    <w:uiPriority w:val="9"/>
    <w:pPr>
      <w:pBdr/>
      <w:spacing/>
      <w:ind/>
    </w:pPr>
    <w:rPr>
      <w:rFonts w:ascii="Arial" w:hAnsi="Arial" w:eastAsia="Arial" w:cs="Arial"/>
      <w:i/>
      <w:iCs/>
      <w:color w:val="0f4761" w:themeColor="accent1" w:themeShade="BF"/>
    </w:rPr>
  </w:style>
  <w:style w:type="character" w:styleId="914">
    <w:name w:val="Heading 5 Char"/>
    <w:basedOn w:val="909"/>
    <w:link w:val="904"/>
    <w:uiPriority w:val="9"/>
    <w:pPr>
      <w:pBdr/>
      <w:spacing/>
      <w:ind/>
    </w:pPr>
    <w:rPr>
      <w:rFonts w:ascii="Arial" w:hAnsi="Arial" w:eastAsia="Arial" w:cs="Arial"/>
      <w:color w:val="0f4761" w:themeColor="accent1" w:themeShade="BF"/>
    </w:rPr>
  </w:style>
  <w:style w:type="character" w:styleId="915">
    <w:name w:val="Heading 6 Char"/>
    <w:basedOn w:val="909"/>
    <w:link w:val="905"/>
    <w:uiPriority w:val="9"/>
    <w:pPr>
      <w:pBdr/>
      <w:spacing/>
      <w:ind/>
    </w:pPr>
    <w:rPr>
      <w:rFonts w:ascii="Arial" w:hAnsi="Arial" w:eastAsia="Arial" w:cs="Arial"/>
      <w:i/>
      <w:iCs/>
      <w:color w:val="595959" w:themeColor="text1" w:themeTint="A6"/>
    </w:rPr>
  </w:style>
  <w:style w:type="character" w:styleId="916">
    <w:name w:val="Heading 7 Char"/>
    <w:basedOn w:val="909"/>
    <w:link w:val="906"/>
    <w:uiPriority w:val="9"/>
    <w:pPr>
      <w:pBdr/>
      <w:spacing/>
      <w:ind/>
    </w:pPr>
    <w:rPr>
      <w:rFonts w:ascii="Arial" w:hAnsi="Arial" w:eastAsia="Arial" w:cs="Arial"/>
      <w:color w:val="595959" w:themeColor="text1" w:themeTint="A6"/>
    </w:rPr>
  </w:style>
  <w:style w:type="character" w:styleId="917">
    <w:name w:val="Heading 8 Char"/>
    <w:basedOn w:val="909"/>
    <w:link w:val="907"/>
    <w:uiPriority w:val="9"/>
    <w:pPr>
      <w:pBdr/>
      <w:spacing/>
      <w:ind/>
    </w:pPr>
    <w:rPr>
      <w:rFonts w:ascii="Arial" w:hAnsi="Arial" w:eastAsia="Arial" w:cs="Arial"/>
      <w:i/>
      <w:iCs/>
      <w:color w:val="272727" w:themeColor="text1" w:themeTint="D8"/>
    </w:rPr>
  </w:style>
  <w:style w:type="character" w:styleId="918">
    <w:name w:val="Heading 9 Char"/>
    <w:basedOn w:val="909"/>
    <w:link w:val="908"/>
    <w:uiPriority w:val="9"/>
    <w:pPr>
      <w:pBdr/>
      <w:spacing/>
      <w:ind/>
    </w:pPr>
    <w:rPr>
      <w:rFonts w:ascii="Arial" w:hAnsi="Arial" w:eastAsia="Arial" w:cs="Arial"/>
      <w:i/>
      <w:iCs/>
      <w:color w:val="272727" w:themeColor="text1" w:themeTint="D8"/>
    </w:rPr>
  </w:style>
  <w:style w:type="paragraph" w:styleId="919">
    <w:name w:val="Title"/>
    <w:basedOn w:val="959"/>
    <w:next w:val="959"/>
    <w:link w:val="920"/>
    <w:uiPriority w:val="10"/>
    <w:qFormat/>
    <w:pPr>
      <w:pBdr/>
      <w:spacing w:after="80" w:line="240" w:lineRule="auto"/>
      <w:ind/>
      <w:contextualSpacing w:val="true"/>
    </w:pPr>
    <w:rPr>
      <w:rFonts w:ascii="Arial" w:hAnsi="Arial" w:eastAsia="Arial" w:cs="Arial"/>
      <w:spacing w:val="-10"/>
      <w:sz w:val="56"/>
      <w:szCs w:val="56"/>
    </w:rPr>
  </w:style>
  <w:style w:type="character" w:styleId="920">
    <w:name w:val="Title Char"/>
    <w:basedOn w:val="909"/>
    <w:link w:val="919"/>
    <w:uiPriority w:val="10"/>
    <w:pPr>
      <w:pBdr/>
      <w:spacing/>
      <w:ind/>
    </w:pPr>
    <w:rPr>
      <w:rFonts w:ascii="Arial" w:hAnsi="Arial" w:eastAsia="Arial" w:cs="Arial"/>
      <w:spacing w:val="-10"/>
      <w:sz w:val="56"/>
      <w:szCs w:val="56"/>
    </w:rPr>
  </w:style>
  <w:style w:type="paragraph" w:styleId="921">
    <w:name w:val="Subtitle"/>
    <w:basedOn w:val="959"/>
    <w:next w:val="959"/>
    <w:link w:val="922"/>
    <w:uiPriority w:val="11"/>
    <w:qFormat/>
    <w:pPr>
      <w:numPr>
        <w:ilvl w:val="1"/>
      </w:numPr>
      <w:pBdr/>
      <w:spacing/>
      <w:ind/>
    </w:pPr>
    <w:rPr>
      <w:color w:val="595959" w:themeColor="text1" w:themeTint="A6"/>
      <w:spacing w:val="15"/>
      <w:sz w:val="28"/>
      <w:szCs w:val="28"/>
    </w:rPr>
  </w:style>
  <w:style w:type="character" w:styleId="922">
    <w:name w:val="Subtitle Char"/>
    <w:basedOn w:val="909"/>
    <w:link w:val="921"/>
    <w:uiPriority w:val="11"/>
    <w:pPr>
      <w:pBdr/>
      <w:spacing/>
      <w:ind/>
    </w:pPr>
    <w:rPr>
      <w:color w:val="595959" w:themeColor="text1" w:themeTint="A6"/>
      <w:spacing w:val="15"/>
      <w:sz w:val="28"/>
      <w:szCs w:val="28"/>
    </w:rPr>
  </w:style>
  <w:style w:type="paragraph" w:styleId="923">
    <w:name w:val="Quote"/>
    <w:basedOn w:val="959"/>
    <w:next w:val="959"/>
    <w:link w:val="924"/>
    <w:uiPriority w:val="29"/>
    <w:qFormat/>
    <w:pPr>
      <w:pBdr/>
      <w:spacing w:before="160"/>
      <w:ind/>
      <w:jc w:val="center"/>
    </w:pPr>
    <w:rPr>
      <w:i/>
      <w:iCs/>
      <w:color w:val="404040" w:themeColor="text1" w:themeTint="BF"/>
    </w:rPr>
  </w:style>
  <w:style w:type="character" w:styleId="924">
    <w:name w:val="Quote Char"/>
    <w:basedOn w:val="909"/>
    <w:link w:val="923"/>
    <w:uiPriority w:val="29"/>
    <w:pPr>
      <w:pBdr/>
      <w:spacing/>
      <w:ind/>
    </w:pPr>
    <w:rPr>
      <w:i/>
      <w:iCs/>
      <w:color w:val="404040" w:themeColor="text1" w:themeTint="BF"/>
    </w:rPr>
  </w:style>
  <w:style w:type="character" w:styleId="925">
    <w:name w:val="Intense Emphasis"/>
    <w:basedOn w:val="909"/>
    <w:uiPriority w:val="21"/>
    <w:qFormat/>
    <w:pPr>
      <w:pBdr/>
      <w:spacing/>
      <w:ind/>
    </w:pPr>
    <w:rPr>
      <w:i/>
      <w:iCs/>
      <w:color w:val="0f4761" w:themeColor="accent1" w:themeShade="BF"/>
    </w:rPr>
  </w:style>
  <w:style w:type="paragraph" w:styleId="926">
    <w:name w:val="Intense Quote"/>
    <w:basedOn w:val="959"/>
    <w:next w:val="959"/>
    <w:link w:val="92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7">
    <w:name w:val="Intense Quote Char"/>
    <w:basedOn w:val="909"/>
    <w:link w:val="926"/>
    <w:uiPriority w:val="30"/>
    <w:pPr>
      <w:pBdr/>
      <w:spacing/>
      <w:ind/>
    </w:pPr>
    <w:rPr>
      <w:i/>
      <w:iCs/>
      <w:color w:val="0f4761" w:themeColor="accent1" w:themeShade="BF"/>
    </w:rPr>
  </w:style>
  <w:style w:type="character" w:styleId="928">
    <w:name w:val="Intense Reference"/>
    <w:basedOn w:val="909"/>
    <w:uiPriority w:val="32"/>
    <w:qFormat/>
    <w:pPr>
      <w:pBdr/>
      <w:spacing/>
      <w:ind/>
    </w:pPr>
    <w:rPr>
      <w:b/>
      <w:bCs/>
      <w:smallCaps/>
      <w:color w:val="0f4761" w:themeColor="accent1" w:themeShade="BF"/>
      <w:spacing w:val="5"/>
    </w:rPr>
  </w:style>
  <w:style w:type="character" w:styleId="929">
    <w:name w:val="Subtle Emphasis"/>
    <w:basedOn w:val="909"/>
    <w:uiPriority w:val="19"/>
    <w:qFormat/>
    <w:pPr>
      <w:pBdr/>
      <w:spacing/>
      <w:ind/>
    </w:pPr>
    <w:rPr>
      <w:i/>
      <w:iCs/>
      <w:color w:val="404040" w:themeColor="text1" w:themeTint="BF"/>
    </w:rPr>
  </w:style>
  <w:style w:type="character" w:styleId="930">
    <w:name w:val="Emphasis"/>
    <w:basedOn w:val="909"/>
    <w:uiPriority w:val="20"/>
    <w:qFormat/>
    <w:pPr>
      <w:pBdr/>
      <w:spacing/>
      <w:ind/>
    </w:pPr>
    <w:rPr>
      <w:i/>
      <w:iCs/>
    </w:rPr>
  </w:style>
  <w:style w:type="character" w:styleId="931">
    <w:name w:val="Strong"/>
    <w:basedOn w:val="909"/>
    <w:uiPriority w:val="22"/>
    <w:qFormat/>
    <w:pPr>
      <w:pBdr/>
      <w:spacing/>
      <w:ind/>
    </w:pPr>
    <w:rPr>
      <w:b/>
      <w:bCs/>
    </w:rPr>
  </w:style>
  <w:style w:type="character" w:styleId="932">
    <w:name w:val="Subtle Reference"/>
    <w:basedOn w:val="909"/>
    <w:uiPriority w:val="31"/>
    <w:qFormat/>
    <w:pPr>
      <w:pBdr/>
      <w:spacing/>
      <w:ind/>
    </w:pPr>
    <w:rPr>
      <w:smallCaps/>
      <w:color w:val="5a5a5a" w:themeColor="text1" w:themeTint="A5"/>
    </w:rPr>
  </w:style>
  <w:style w:type="character" w:styleId="933">
    <w:name w:val="Book Title"/>
    <w:basedOn w:val="909"/>
    <w:uiPriority w:val="33"/>
    <w:qFormat/>
    <w:pPr>
      <w:pBdr/>
      <w:spacing/>
      <w:ind/>
    </w:pPr>
    <w:rPr>
      <w:b/>
      <w:bCs/>
      <w:i/>
      <w:iCs/>
      <w:spacing w:val="5"/>
    </w:rPr>
  </w:style>
  <w:style w:type="paragraph" w:styleId="934">
    <w:name w:val="Header"/>
    <w:basedOn w:val="959"/>
    <w:link w:val="935"/>
    <w:uiPriority w:val="99"/>
    <w:unhideWhenUsed/>
    <w:pPr>
      <w:pBdr/>
      <w:tabs>
        <w:tab w:val="center" w:leader="none" w:pos="4844"/>
        <w:tab w:val="right" w:leader="none" w:pos="9689"/>
      </w:tabs>
      <w:spacing w:after="0" w:line="240" w:lineRule="auto"/>
      <w:ind/>
    </w:pPr>
  </w:style>
  <w:style w:type="character" w:styleId="935">
    <w:name w:val="Header Char"/>
    <w:basedOn w:val="909"/>
    <w:link w:val="934"/>
    <w:uiPriority w:val="99"/>
    <w:pPr>
      <w:pBdr/>
      <w:spacing/>
      <w:ind/>
    </w:pPr>
  </w:style>
  <w:style w:type="paragraph" w:styleId="936">
    <w:name w:val="Footer"/>
    <w:basedOn w:val="959"/>
    <w:link w:val="937"/>
    <w:uiPriority w:val="99"/>
    <w:unhideWhenUsed/>
    <w:pPr>
      <w:pBdr/>
      <w:tabs>
        <w:tab w:val="center" w:leader="none" w:pos="4844"/>
        <w:tab w:val="right" w:leader="none" w:pos="9689"/>
      </w:tabs>
      <w:spacing w:after="0" w:line="240" w:lineRule="auto"/>
      <w:ind/>
    </w:pPr>
  </w:style>
  <w:style w:type="character" w:styleId="937">
    <w:name w:val="Footer Char"/>
    <w:basedOn w:val="909"/>
    <w:link w:val="936"/>
    <w:uiPriority w:val="99"/>
    <w:pPr>
      <w:pBdr/>
      <w:spacing/>
      <w:ind/>
    </w:pPr>
  </w:style>
  <w:style w:type="paragraph" w:styleId="938">
    <w:name w:val="Caption"/>
    <w:basedOn w:val="959"/>
    <w:next w:val="959"/>
    <w:uiPriority w:val="35"/>
    <w:unhideWhenUsed/>
    <w:qFormat/>
    <w:pPr>
      <w:pBdr/>
      <w:spacing w:after="200" w:line="240" w:lineRule="auto"/>
      <w:ind/>
    </w:pPr>
    <w:rPr>
      <w:i/>
      <w:iCs/>
      <w:color w:val="0e2841" w:themeColor="text2"/>
      <w:sz w:val="18"/>
      <w:szCs w:val="18"/>
    </w:rPr>
  </w:style>
  <w:style w:type="paragraph" w:styleId="939">
    <w:name w:val="footnote text"/>
    <w:basedOn w:val="959"/>
    <w:link w:val="940"/>
    <w:uiPriority w:val="99"/>
    <w:semiHidden/>
    <w:unhideWhenUsed/>
    <w:pPr>
      <w:pBdr/>
      <w:spacing w:after="0" w:line="240" w:lineRule="auto"/>
      <w:ind/>
    </w:pPr>
    <w:rPr>
      <w:sz w:val="20"/>
      <w:szCs w:val="20"/>
    </w:rPr>
  </w:style>
  <w:style w:type="character" w:styleId="940">
    <w:name w:val="Footnote Text Char"/>
    <w:basedOn w:val="909"/>
    <w:link w:val="939"/>
    <w:uiPriority w:val="99"/>
    <w:semiHidden/>
    <w:pPr>
      <w:pBdr/>
      <w:spacing/>
      <w:ind/>
    </w:pPr>
    <w:rPr>
      <w:sz w:val="20"/>
      <w:szCs w:val="20"/>
    </w:rPr>
  </w:style>
  <w:style w:type="character" w:styleId="941">
    <w:name w:val="footnote reference"/>
    <w:basedOn w:val="909"/>
    <w:uiPriority w:val="99"/>
    <w:semiHidden/>
    <w:unhideWhenUsed/>
    <w:pPr>
      <w:pBdr/>
      <w:spacing/>
      <w:ind/>
    </w:pPr>
    <w:rPr>
      <w:vertAlign w:val="superscript"/>
    </w:rPr>
  </w:style>
  <w:style w:type="paragraph" w:styleId="942">
    <w:name w:val="endnote text"/>
    <w:basedOn w:val="959"/>
    <w:link w:val="943"/>
    <w:uiPriority w:val="99"/>
    <w:semiHidden/>
    <w:unhideWhenUsed/>
    <w:pPr>
      <w:pBdr/>
      <w:spacing w:after="0" w:line="240" w:lineRule="auto"/>
      <w:ind/>
    </w:pPr>
    <w:rPr>
      <w:sz w:val="20"/>
      <w:szCs w:val="20"/>
    </w:rPr>
  </w:style>
  <w:style w:type="character" w:styleId="943">
    <w:name w:val="Endnote Text Char"/>
    <w:basedOn w:val="909"/>
    <w:link w:val="942"/>
    <w:uiPriority w:val="99"/>
    <w:semiHidden/>
    <w:pPr>
      <w:pBdr/>
      <w:spacing/>
      <w:ind/>
    </w:pPr>
    <w:rPr>
      <w:sz w:val="20"/>
      <w:szCs w:val="20"/>
    </w:rPr>
  </w:style>
  <w:style w:type="character" w:styleId="944">
    <w:name w:val="endnote reference"/>
    <w:basedOn w:val="909"/>
    <w:uiPriority w:val="99"/>
    <w:semiHidden/>
    <w:unhideWhenUsed/>
    <w:pPr>
      <w:pBdr/>
      <w:spacing/>
      <w:ind/>
    </w:pPr>
    <w:rPr>
      <w:vertAlign w:val="superscript"/>
    </w:rPr>
  </w:style>
  <w:style w:type="character" w:styleId="945">
    <w:name w:val="Hyperlink"/>
    <w:basedOn w:val="909"/>
    <w:uiPriority w:val="99"/>
    <w:unhideWhenUsed/>
    <w:pPr>
      <w:pBdr/>
      <w:spacing/>
      <w:ind/>
    </w:pPr>
    <w:rPr>
      <w:color w:val="0563c1" w:themeColor="hyperlink"/>
      <w:u w:val="single"/>
    </w:rPr>
  </w:style>
  <w:style w:type="character" w:styleId="946">
    <w:name w:val="FollowedHyperlink"/>
    <w:basedOn w:val="909"/>
    <w:uiPriority w:val="99"/>
    <w:semiHidden/>
    <w:unhideWhenUsed/>
    <w:pPr>
      <w:pBdr/>
      <w:spacing/>
      <w:ind/>
    </w:pPr>
    <w:rPr>
      <w:color w:val="954f72" w:themeColor="followedHyperlink"/>
      <w:u w:val="single"/>
    </w:rPr>
  </w:style>
  <w:style w:type="paragraph" w:styleId="947">
    <w:name w:val="toc 1"/>
    <w:basedOn w:val="959"/>
    <w:next w:val="959"/>
    <w:uiPriority w:val="39"/>
    <w:unhideWhenUsed/>
    <w:pPr>
      <w:pBdr/>
      <w:spacing w:after="100"/>
      <w:ind/>
    </w:pPr>
  </w:style>
  <w:style w:type="paragraph" w:styleId="948">
    <w:name w:val="toc 2"/>
    <w:basedOn w:val="959"/>
    <w:next w:val="959"/>
    <w:uiPriority w:val="39"/>
    <w:unhideWhenUsed/>
    <w:pPr>
      <w:pBdr/>
      <w:spacing w:after="100"/>
      <w:ind w:left="220"/>
    </w:pPr>
  </w:style>
  <w:style w:type="paragraph" w:styleId="949">
    <w:name w:val="toc 3"/>
    <w:basedOn w:val="959"/>
    <w:next w:val="959"/>
    <w:uiPriority w:val="39"/>
    <w:unhideWhenUsed/>
    <w:pPr>
      <w:pBdr/>
      <w:spacing w:after="100"/>
      <w:ind w:left="440"/>
    </w:pPr>
  </w:style>
  <w:style w:type="paragraph" w:styleId="950">
    <w:name w:val="toc 4"/>
    <w:basedOn w:val="959"/>
    <w:next w:val="959"/>
    <w:uiPriority w:val="39"/>
    <w:unhideWhenUsed/>
    <w:pPr>
      <w:pBdr/>
      <w:spacing w:after="100"/>
      <w:ind w:left="660"/>
    </w:pPr>
  </w:style>
  <w:style w:type="paragraph" w:styleId="951">
    <w:name w:val="toc 5"/>
    <w:basedOn w:val="959"/>
    <w:next w:val="959"/>
    <w:uiPriority w:val="39"/>
    <w:unhideWhenUsed/>
    <w:pPr>
      <w:pBdr/>
      <w:spacing w:after="100"/>
      <w:ind w:left="880"/>
    </w:pPr>
  </w:style>
  <w:style w:type="paragraph" w:styleId="952">
    <w:name w:val="toc 6"/>
    <w:basedOn w:val="959"/>
    <w:next w:val="959"/>
    <w:uiPriority w:val="39"/>
    <w:unhideWhenUsed/>
    <w:pPr>
      <w:pBdr/>
      <w:spacing w:after="100"/>
      <w:ind w:left="1100"/>
    </w:pPr>
  </w:style>
  <w:style w:type="paragraph" w:styleId="953">
    <w:name w:val="toc 7"/>
    <w:basedOn w:val="959"/>
    <w:next w:val="959"/>
    <w:uiPriority w:val="39"/>
    <w:unhideWhenUsed/>
    <w:pPr>
      <w:pBdr/>
      <w:spacing w:after="100"/>
      <w:ind w:left="1320"/>
    </w:pPr>
  </w:style>
  <w:style w:type="paragraph" w:styleId="954">
    <w:name w:val="toc 8"/>
    <w:basedOn w:val="959"/>
    <w:next w:val="959"/>
    <w:uiPriority w:val="39"/>
    <w:unhideWhenUsed/>
    <w:pPr>
      <w:pBdr/>
      <w:spacing w:after="100"/>
      <w:ind w:left="1540"/>
    </w:pPr>
  </w:style>
  <w:style w:type="paragraph" w:styleId="955">
    <w:name w:val="toc 9"/>
    <w:basedOn w:val="959"/>
    <w:next w:val="959"/>
    <w:uiPriority w:val="39"/>
    <w:unhideWhenUsed/>
    <w:pPr>
      <w:pBdr/>
      <w:spacing w:after="100"/>
      <w:ind w:left="1760"/>
    </w:pPr>
  </w:style>
  <w:style w:type="character" w:styleId="956">
    <w:name w:val="Placeholder Text"/>
    <w:basedOn w:val="909"/>
    <w:uiPriority w:val="99"/>
    <w:semiHidden/>
    <w:pPr>
      <w:pBdr/>
      <w:spacing/>
      <w:ind/>
    </w:pPr>
    <w:rPr>
      <w:color w:val="666666"/>
    </w:rPr>
  </w:style>
  <w:style w:type="paragraph" w:styleId="957">
    <w:name w:val="TOC Heading"/>
    <w:uiPriority w:val="39"/>
    <w:unhideWhenUsed/>
    <w:pPr>
      <w:pBdr/>
      <w:spacing/>
      <w:ind/>
    </w:pPr>
  </w:style>
  <w:style w:type="paragraph" w:styleId="958">
    <w:name w:val="table of figures"/>
    <w:basedOn w:val="959"/>
    <w:next w:val="959"/>
    <w:uiPriority w:val="99"/>
    <w:unhideWhenUsed/>
    <w:pPr>
      <w:pBdr/>
      <w:spacing w:after="0" w:afterAutospacing="0"/>
      <w:ind/>
    </w:pPr>
  </w:style>
  <w:style w:type="paragraph" w:styleId="959" w:default="1">
    <w:name w:val="Normal"/>
    <w:qFormat/>
    <w:pPr>
      <w:pBdr/>
      <w:spacing/>
      <w:ind/>
    </w:pPr>
  </w:style>
  <w:style w:type="table" w:styleId="9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1" w:default="1">
    <w:name w:val="No List"/>
    <w:uiPriority w:val="99"/>
    <w:semiHidden/>
    <w:unhideWhenUsed/>
    <w:pPr>
      <w:pBdr/>
      <w:spacing/>
      <w:ind/>
    </w:pPr>
  </w:style>
  <w:style w:type="paragraph" w:styleId="962">
    <w:name w:val="No Spacing"/>
    <w:basedOn w:val="959"/>
    <w:uiPriority w:val="1"/>
    <w:qFormat/>
    <w:pPr>
      <w:pBdr/>
      <w:spacing w:after="0" w:line="240" w:lineRule="auto"/>
      <w:ind/>
    </w:pPr>
  </w:style>
  <w:style w:type="paragraph" w:styleId="963">
    <w:name w:val="List Paragraph"/>
    <w:basedOn w:val="95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2025-12-11T23:21:15Z</dcterms:modified>
</cp:coreProperties>
</file>