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06AC" w14:textId="77777777" w:rsidR="005C6F7E" w:rsidRDefault="005C6F7E" w:rsidP="005C6F7E">
      <w:pPr>
        <w:jc w:val="center"/>
        <w:rPr>
          <w:rFonts w:ascii="Times New Roman" w:hAnsi="Times New Roman" w:cs="Times New Roman"/>
        </w:rPr>
      </w:pPr>
      <w:r w:rsidRPr="00DD3C17">
        <w:rPr>
          <w:rFonts w:ascii="Times New Roman" w:hAnsi="Times New Roman" w:cs="Times New Roman"/>
        </w:rPr>
        <w:t>Causal Inference for Peacekeeping Research: A Synthetic Control Approach</w:t>
      </w:r>
    </w:p>
    <w:p w14:paraId="6BE39B85" w14:textId="7777777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Overwhelmingly, two decades of research have suggested a general conflict-reducing effect of third-party peacekeeping operations (PKOs)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and Howard 2008, </w:t>
      </w:r>
      <w:proofErr w:type="spellStart"/>
      <w:r w:rsidRPr="00DD3C17">
        <w:rPr>
          <w:rFonts w:ascii="Times New Roman" w:hAnsi="Times New Roman" w:cs="Times New Roman"/>
        </w:rPr>
        <w:t>Dorussen</w:t>
      </w:r>
      <w:proofErr w:type="spellEnd"/>
      <w:r w:rsidRPr="00DD3C17">
        <w:rPr>
          <w:rFonts w:ascii="Times New Roman" w:hAnsi="Times New Roman" w:cs="Times New Roman"/>
        </w:rPr>
        <w:t xml:space="preserve"> 2014, Walter et al. 2021). Indeed, this relationship has been established across a wide variety of operationalizations of peace, such as the rule of law (Blair 2019), economic recovery (Bove et al. 2021), inter-ethnic trust (Mironova and Whitt 2015), battle deaths (</w:t>
      </w:r>
      <w:proofErr w:type="spellStart"/>
      <w:r w:rsidRPr="00DD3C17">
        <w:rPr>
          <w:rFonts w:ascii="Times New Roman" w:hAnsi="Times New Roman" w:cs="Times New Roman"/>
        </w:rPr>
        <w:t>Vivalt</w:t>
      </w:r>
      <w:proofErr w:type="spellEnd"/>
      <w:r w:rsidRPr="00DD3C17">
        <w:rPr>
          <w:rFonts w:ascii="Times New Roman" w:hAnsi="Times New Roman" w:cs="Times New Roman"/>
        </w:rPr>
        <w:t xml:space="preserve"> 2015), the risk of conflict onset (</w:t>
      </w:r>
      <w:proofErr w:type="spellStart"/>
      <w:r w:rsidRPr="00DD3C17">
        <w:rPr>
          <w:rFonts w:ascii="Times New Roman" w:hAnsi="Times New Roman" w:cs="Times New Roman"/>
        </w:rPr>
        <w:t>Hegre</w:t>
      </w:r>
      <w:proofErr w:type="spellEnd"/>
      <w:r w:rsidRPr="00DD3C17">
        <w:rPr>
          <w:rFonts w:ascii="Times New Roman" w:hAnsi="Times New Roman" w:cs="Times New Roman"/>
        </w:rPr>
        <w:t xml:space="preserve"> et al. 2018), the risk of conflict recurrence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2019). Theoretical works such as </w:t>
      </w:r>
      <w:proofErr w:type="spellStart"/>
      <w:r w:rsidRPr="00DD3C17">
        <w:rPr>
          <w:rFonts w:ascii="Times New Roman" w:hAnsi="Times New Roman" w:cs="Times New Roman"/>
        </w:rPr>
        <w:t>Kuperman</w:t>
      </w:r>
      <w:proofErr w:type="spellEnd"/>
      <w:r w:rsidRPr="00DD3C17">
        <w:rPr>
          <w:rFonts w:ascii="Times New Roman" w:hAnsi="Times New Roman" w:cs="Times New Roman"/>
        </w:rPr>
        <w:t xml:space="preserve"> (2008) and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have considered the possibility of unintentional conflict-enhancing side effects produced by humanitarian intervention. According to </w:t>
      </w:r>
      <w:proofErr w:type="spellStart"/>
      <w:r w:rsidRPr="00DD3C17">
        <w:rPr>
          <w:rFonts w:ascii="Times New Roman" w:hAnsi="Times New Roman" w:cs="Times New Roman"/>
        </w:rPr>
        <w:lastRenderedPageBreak/>
        <w:t>Kuperman</w:t>
      </w:r>
      <w:proofErr w:type="spellEnd"/>
      <w:r w:rsidRPr="00DD3C17">
        <w:rPr>
          <w:rFonts w:ascii="Times New Roman" w:hAnsi="Times New Roman" w:cs="Times New Roman"/>
        </w:rPr>
        <w:t xml:space="preserve">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w:t>
      </w:r>
      <w:proofErr w:type="spellStart"/>
      <w:r w:rsidRPr="00DD3C17">
        <w:rPr>
          <w:rFonts w:ascii="Times New Roman" w:hAnsi="Times New Roman" w:cs="Times New Roman"/>
        </w:rPr>
        <w:t>Ansorg</w:t>
      </w:r>
      <w:proofErr w:type="spellEnd"/>
      <w:r w:rsidRPr="00DD3C17">
        <w:rPr>
          <w:rFonts w:ascii="Times New Roman" w:hAnsi="Times New Roman" w:cs="Times New Roman"/>
        </w:rPr>
        <w:t xml:space="preserve">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(2014) showed that an increase in armed U.N. peacekeeping personnel correlated with a reduction in battlefield deaths and a later study found a similar pacifying effect for the risk of conflict recurrence (</w:t>
      </w:r>
      <w:proofErr w:type="spellStart"/>
      <w:r w:rsidRPr="00DD3C17">
        <w:rPr>
          <w:rFonts w:ascii="Times New Roman" w:hAnsi="Times New Roman" w:cs="Times New Roman"/>
        </w:rPr>
        <w:t>Hutlman</w:t>
      </w:r>
      <w:proofErr w:type="spellEnd"/>
      <w:r w:rsidRPr="00DD3C17">
        <w:rPr>
          <w:rFonts w:ascii="Times New Roman" w:hAnsi="Times New Roman" w:cs="Times New Roman"/>
        </w:rPr>
        <w:t xml:space="preserve"> et al. 2016).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(2016) find similar support for the pacifying effect of the militarization of U.N. personnel in PKOs during the post-conflict period. In contrast,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While the study of U.N. PKO composition is perhaps the most popular in the literature seeking to understand the conditional effects of PKOs on peace, other studies have examined how temporal dynamics impact the pacifying effect of PKOs.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w:t>
      </w:r>
      <w:proofErr w:type="spellStart"/>
      <w:r w:rsidRPr="00DD3C17">
        <w:rPr>
          <w:rFonts w:ascii="Times New Roman" w:hAnsi="Times New Roman" w:cs="Times New Roman"/>
        </w:rPr>
        <w:t>Sergenti</w:t>
      </w:r>
      <w:proofErr w:type="spellEnd"/>
      <w:r w:rsidRPr="00DD3C17">
        <w:rPr>
          <w:rFonts w:ascii="Times New Roman" w:hAnsi="Times New Roman" w:cs="Times New Roman"/>
        </w:rPr>
        <w:t xml:space="preserve"> (2007) found that PKOs appear to only be effective in the post-conflict period. </w:t>
      </w:r>
      <w:proofErr w:type="spellStart"/>
      <w:r w:rsidRPr="00DD3C17">
        <w:rPr>
          <w:rFonts w:ascii="Times New Roman" w:hAnsi="Times New Roman" w:cs="Times New Roman"/>
        </w:rPr>
        <w:t>Sambanis</w:t>
      </w:r>
      <w:proofErr w:type="spellEnd"/>
      <w:r w:rsidRPr="00DD3C17">
        <w:rPr>
          <w:rFonts w:ascii="Times New Roman" w:hAnsi="Times New Roman" w:cs="Times New Roman"/>
        </w:rPr>
        <w:t xml:space="preserve">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w:t>
      </w:r>
      <w:proofErr w:type="spellStart"/>
      <w:r w:rsidRPr="00DD3C17">
        <w:rPr>
          <w:rFonts w:ascii="Times New Roman" w:hAnsi="Times New Roman" w:cs="Times New Roman"/>
        </w:rPr>
        <w:t>Fjelde</w:t>
      </w:r>
      <w:proofErr w:type="spellEnd"/>
      <w:r w:rsidRPr="00DD3C17">
        <w:rPr>
          <w:rFonts w:ascii="Times New Roman" w:hAnsi="Times New Roman" w:cs="Times New Roman"/>
        </w:rPr>
        <w:t xml:space="preserve"> et al. (2018) outlined how PKOs appear to be more effective at reducing civilian victimization when violence against civilians is committed by rebels. In contrast, PKOs seem to be less effective at reducing government-led civilian victimization.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and </w:t>
      </w:r>
      <w:proofErr w:type="spellStart"/>
      <w:r w:rsidRPr="00DD3C17">
        <w:rPr>
          <w:rFonts w:ascii="Times New Roman" w:hAnsi="Times New Roman" w:cs="Times New Roman"/>
        </w:rPr>
        <w:t>Prins</w:t>
      </w:r>
      <w:proofErr w:type="spellEnd"/>
      <w:r w:rsidRPr="00DD3C17">
        <w:rPr>
          <w:rFonts w:ascii="Times New Roman" w:hAnsi="Times New Roman" w:cs="Times New Roman"/>
        </w:rPr>
        <w:t xml:space="preserve">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w:t>
      </w:r>
      <w:proofErr w:type="gramStart"/>
      <w:r w:rsidRPr="00DD3C17">
        <w:rPr>
          <w:rFonts w:ascii="Times New Roman" w:hAnsi="Times New Roman" w:cs="Times New Roman"/>
        </w:rPr>
        <w:t>In reality, the</w:t>
      </w:r>
      <w:proofErr w:type="gramEnd"/>
      <w:r w:rsidRPr="00DD3C17">
        <w:rPr>
          <w:rFonts w:ascii="Times New Roman" w:hAnsi="Times New Roman" w:cs="Times New Roman"/>
        </w:rPr>
        <w:t xml:space="preserv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01C951E" w:rsidR="005C6F7E" w:rsidRDefault="005C6F7E" w:rsidP="005C6F7E">
      <w:pPr>
        <w:rPr>
          <w:rFonts w:ascii="Times New Roman" w:hAnsi="Times New Roman" w:cs="Times New Roman"/>
          <w:b/>
          <w:bCs/>
        </w:rPr>
      </w:pPr>
      <w:r>
        <w:rPr>
          <w:rFonts w:ascii="Times New Roman" w:hAnsi="Times New Roman" w:cs="Times New Roman"/>
          <w:b/>
          <w:bCs/>
        </w:rPr>
        <w:t xml:space="preserve">The State of 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w:t>
      </w:r>
      <w:proofErr w:type="spellStart"/>
      <w:r w:rsidRPr="002B7DA4">
        <w:rPr>
          <w:rFonts w:ascii="Times New Roman" w:hAnsi="Times New Roman" w:cs="Times New Roman"/>
        </w:rPr>
        <w:t>Fortna</w:t>
      </w:r>
      <w:proofErr w:type="spellEnd"/>
      <w:r w:rsidRPr="002B7DA4">
        <w:rPr>
          <w:rFonts w:ascii="Times New Roman" w:hAnsi="Times New Roman" w:cs="Times New Roman"/>
        </w:rPr>
        <w:t xml:space="preserve"> 2004, p. 283), "sustain the peace" (Quinn et al. 2007, p. 183), and "reduces violence against noncombatants"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p. 10) when referring to the alleged effects of PKOs on peace and violence. At first glance, this may seem to be simply a semantic quibble. However, we should be cautious of using causal language when using correlative methods. Kocher's (2014) critique of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demonstrates the need for such caution. While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w:t>
      </w:r>
      <w:proofErr w:type="spellStart"/>
      <w:r w:rsidRPr="002B7DA4">
        <w:rPr>
          <w:rFonts w:ascii="Times New Roman" w:hAnsi="Times New Roman" w:cs="Times New Roman"/>
        </w:rPr>
        <w:t>Samii</w:t>
      </w:r>
      <w:proofErr w:type="spellEnd"/>
      <w:r w:rsidRPr="002B7DA4">
        <w:rPr>
          <w:rFonts w:ascii="Times New Roman" w:hAnsi="Times New Roman" w:cs="Times New Roman"/>
        </w:rPr>
        <w:t xml:space="preserve"> 2016, </w:t>
      </w:r>
      <w:proofErr w:type="spellStart"/>
      <w:r w:rsidRPr="002B7DA4">
        <w:rPr>
          <w:rFonts w:ascii="Times New Roman" w:hAnsi="Times New Roman" w:cs="Times New Roman"/>
        </w:rPr>
        <w:t>Keele</w:t>
      </w:r>
      <w:proofErr w:type="spellEnd"/>
      <w:r w:rsidRPr="002B7DA4">
        <w:rPr>
          <w:rFonts w:ascii="Times New Roman" w:hAnsi="Times New Roman" w:cs="Times New Roman"/>
        </w:rPr>
        <w:t xml:space="preserv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w:t>
      </w:r>
      <w:proofErr w:type="gramStart"/>
      <w:r w:rsidRPr="002B7DA4">
        <w:rPr>
          <w:rFonts w:ascii="Times New Roman" w:hAnsi="Times New Roman" w:cs="Times New Roman"/>
        </w:rPr>
        <w:t>occur</w:t>
      </w:r>
      <w:proofErr w:type="gramEnd"/>
      <w:r w:rsidRPr="002B7DA4">
        <w:rPr>
          <w:rFonts w:ascii="Times New Roman" w:hAnsi="Times New Roman" w:cs="Times New Roman"/>
        </w:rPr>
        <w:t xml:space="preserve">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 the absence of experimental data, many scholars in the field have adopted </w:t>
      </w:r>
      <w:proofErr w:type="gramStart"/>
      <w:r w:rsidRPr="002B7DA4">
        <w:rPr>
          <w:rFonts w:ascii="Times New Roman" w:hAnsi="Times New Roman" w:cs="Times New Roman"/>
        </w:rPr>
        <w:t>an instrumental variables</w:t>
      </w:r>
      <w:proofErr w:type="gramEnd"/>
      <w:r w:rsidRPr="002B7DA4">
        <w:rPr>
          <w:rFonts w:ascii="Times New Roman" w:hAnsi="Times New Roman" w:cs="Times New Roman"/>
        </w:rPr>
        <w:t xml:space="preserve"> approach to making causal inferences concerning the effect of PKOs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Vivalt</w:t>
      </w:r>
      <w:proofErr w:type="spellEnd"/>
      <w:r w:rsidRPr="002B7DA4">
        <w:rPr>
          <w:rFonts w:ascii="Times New Roman" w:hAnsi="Times New Roman" w:cs="Times New Roman"/>
        </w:rPr>
        <w:t xml:space="preserve">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21A79C22"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Kathman</w:t>
      </w:r>
      <w:proofErr w:type="spellEnd"/>
      <w:r w:rsidRPr="002B7DA4">
        <w:rPr>
          <w:rFonts w:ascii="Times New Roman" w:hAnsi="Times New Roman" w:cs="Times New Roman"/>
        </w:rPr>
        <w:t xml:space="preserve"> and Wood 2011,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Ruggeri et al. 2017, Di Salvatore 2018, </w:t>
      </w:r>
      <w:proofErr w:type="spellStart"/>
      <w:r w:rsidRPr="002B7DA4">
        <w:rPr>
          <w:rFonts w:ascii="Times New Roman" w:hAnsi="Times New Roman" w:cs="Times New Roman"/>
        </w:rPr>
        <w:t>Fjelde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Bara 2020), albeit, not always as a method to </w:t>
      </w:r>
      <w:r w:rsidR="004C5C66">
        <w:rPr>
          <w:rFonts w:ascii="Times New Roman" w:hAnsi="Times New Roman" w:cs="Times New Roman"/>
        </w:rPr>
        <w:t xml:space="preserve">explicitly </w:t>
      </w:r>
      <w:r w:rsidRPr="002B7DA4">
        <w:rPr>
          <w:rFonts w:ascii="Times New Roman" w:hAnsi="Times New Roman" w:cs="Times New Roman"/>
        </w:rPr>
        <w:t>improve causal interpretation</w:t>
      </w:r>
      <w:r w:rsidR="00BE5353">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0C37203F" w14:textId="7AF17E0D"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Kocher 2014, Bove and Ruggeri 2016, 2018, Di Salvatore 2018, </w:t>
      </w:r>
      <w:proofErr w:type="spellStart"/>
      <w:r w:rsidRPr="002B7DA4">
        <w:rPr>
          <w:rFonts w:ascii="Times New Roman" w:hAnsi="Times New Roman" w:cs="Times New Roman"/>
        </w:rPr>
        <w:t>Fjedle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Blair 2019, Di Salvatore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and </w:t>
      </w:r>
      <w:proofErr w:type="spellStart"/>
      <w:r w:rsidRPr="002B7DA4">
        <w:rPr>
          <w:rFonts w:ascii="Times New Roman" w:hAnsi="Times New Roman" w:cs="Times New Roman"/>
        </w:rPr>
        <w:t>Prins</w:t>
      </w:r>
      <w:proofErr w:type="spellEnd"/>
      <w:r w:rsidRPr="002B7DA4">
        <w:rPr>
          <w:rFonts w:ascii="Times New Roman" w:hAnsi="Times New Roman" w:cs="Times New Roman"/>
        </w:rPr>
        <w:t xml:space="preserve">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w:t>
      </w:r>
      <w:r w:rsidRPr="002B7DA4">
        <w:rPr>
          <w:rFonts w:ascii="Times New Roman" w:hAnsi="Times New Roman" w:cs="Times New Roman"/>
        </w:rPr>
        <w:lastRenderedPageBreak/>
        <w:t>PKOs would be unable to determine the effect of PKOs independent of the other unit-specific fixed factors. This problem</w:t>
      </w:r>
      <w:proofErr w:type="gramStart"/>
      <w:r w:rsidRPr="002B7DA4">
        <w:rPr>
          <w:rFonts w:ascii="Times New Roman" w:hAnsi="Times New Roman" w:cs="Times New Roman"/>
        </w:rPr>
        <w:t>, in particular, can</w:t>
      </w:r>
      <w:proofErr w:type="gramEnd"/>
      <w:r w:rsidRPr="002B7DA4">
        <w:rPr>
          <w:rFonts w:ascii="Times New Roman" w:hAnsi="Times New Roman" w:cs="Times New Roman"/>
        </w:rPr>
        <w:t xml:space="preserve">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1D7DB495" w14:textId="13DF1BE3" w:rsidR="00685245" w:rsidRDefault="00685245" w:rsidP="00685245">
      <w:pPr>
        <w:rPr>
          <w:rFonts w:ascii="Times New Roman" w:hAnsi="Times New Roman" w:cs="Times New Roman"/>
          <w:i/>
          <w:iCs/>
        </w:rPr>
      </w:pPr>
      <w:r>
        <w:rPr>
          <w:rFonts w:ascii="Times New Roman" w:hAnsi="Times New Roman" w:cs="Times New Roman"/>
          <w:i/>
          <w:iCs/>
        </w:rPr>
        <w:t>Thinking About the Assumptions of Causal Inference Itself</w:t>
      </w:r>
      <w:r w:rsidR="00AB34DF">
        <w:rPr>
          <w:rFonts w:ascii="Times New Roman" w:hAnsi="Times New Roman" w:cs="Times New Roman"/>
          <w:i/>
          <w:iCs/>
        </w:rPr>
        <w:t xml:space="preserve"> (SUTVA)</w:t>
      </w:r>
    </w:p>
    <w:p w14:paraId="4526F1A7" w14:textId="232560A9" w:rsidR="00685245" w:rsidRDefault="00685245" w:rsidP="00685245">
      <w:pPr>
        <w:rPr>
          <w:rFonts w:ascii="Times New Roman" w:hAnsi="Times New Roman" w:cs="Times New Roman"/>
          <w:i/>
          <w:iCs/>
        </w:rPr>
      </w:pPr>
      <w:r>
        <w:rPr>
          <w:rFonts w:ascii="Times New Roman" w:hAnsi="Times New Roman" w:cs="Times New Roman"/>
          <w:i/>
          <w:iCs/>
        </w:rPr>
        <w:t>Difficulty in Making CI Techniques Work Due to Poor Data</w:t>
      </w:r>
      <w:r w:rsidR="00AB34DF">
        <w:rPr>
          <w:rFonts w:ascii="Times New Roman" w:hAnsi="Times New Roman" w:cs="Times New Roman"/>
          <w:i/>
          <w:iCs/>
        </w:rPr>
        <w:t xml:space="preserve"> or Burdensome Assumptions</w:t>
      </w:r>
      <w:r w:rsidR="00254CD8">
        <w:rPr>
          <w:rFonts w:ascii="Times New Roman" w:hAnsi="Times New Roman" w:cs="Times New Roman"/>
          <w:i/>
          <w:iCs/>
        </w:rPr>
        <w:t xml:space="preserve"> (</w:t>
      </w:r>
      <w:proofErr w:type="spellStart"/>
      <w:r w:rsidR="00254CD8">
        <w:rPr>
          <w:rFonts w:ascii="Times New Roman" w:hAnsi="Times New Roman" w:cs="Times New Roman"/>
          <w:i/>
          <w:iCs/>
        </w:rPr>
        <w:t>Phayal</w:t>
      </w:r>
      <w:proofErr w:type="spellEnd"/>
      <w:r w:rsidR="00254CD8">
        <w:rPr>
          <w:rFonts w:ascii="Times New Roman" w:hAnsi="Times New Roman" w:cs="Times New Roman"/>
          <w:i/>
          <w:iCs/>
        </w:rPr>
        <w:t xml:space="preserve"> 2019)</w:t>
      </w:r>
    </w:p>
    <w:p w14:paraId="7A394F61" w14:textId="39CC9C97" w:rsidR="00801CF8" w:rsidRDefault="00801CF8" w:rsidP="00685245">
      <w:pPr>
        <w:rPr>
          <w:rFonts w:ascii="Times New Roman" w:hAnsi="Times New Roman" w:cs="Times New Roman"/>
          <w:i/>
          <w:iCs/>
        </w:rPr>
      </w:pPr>
      <w:r>
        <w:rPr>
          <w:rFonts w:ascii="Times New Roman" w:hAnsi="Times New Roman" w:cs="Times New Roman"/>
          <w:i/>
          <w:iCs/>
        </w:rPr>
        <w:t>Most Methods Still May Suffer from Unobserved Confounding and This Needs to Be Addressed</w:t>
      </w:r>
      <w:r w:rsidR="00AB34DF">
        <w:rPr>
          <w:rFonts w:ascii="Times New Roman" w:hAnsi="Times New Roman" w:cs="Times New Roman"/>
          <w:i/>
          <w:iCs/>
        </w:rPr>
        <w:t xml:space="preserve"> (Sensitivity Analysis)</w:t>
      </w:r>
    </w:p>
    <w:p w14:paraId="6620E670" w14:textId="39C5AA0D" w:rsidR="00801CF8" w:rsidRPr="00685245" w:rsidRDefault="00283DAC" w:rsidP="00685245">
      <w:pPr>
        <w:rPr>
          <w:rFonts w:ascii="Times New Roman" w:hAnsi="Times New Roman" w:cs="Times New Roman"/>
          <w:i/>
          <w:iCs/>
        </w:rPr>
      </w:pPr>
      <w:r>
        <w:rPr>
          <w:rFonts w:ascii="Times New Roman" w:hAnsi="Times New Roman" w:cs="Times New Roman"/>
          <w:i/>
          <w:iCs/>
        </w:rPr>
        <w:t>Segue to Research Design</w:t>
      </w:r>
      <w:r w:rsidR="000A4418">
        <w:rPr>
          <w:rFonts w:ascii="Times New Roman" w:hAnsi="Times New Roman" w:cs="Times New Roman"/>
          <w:i/>
          <w:iCs/>
        </w:rPr>
        <w:t xml:space="preserve"> (Introducing IPW)</w:t>
      </w:r>
    </w:p>
    <w:p w14:paraId="2A488FFF" w14:textId="6C2B9F3A" w:rsidR="003378CE" w:rsidRPr="003378CE" w:rsidRDefault="003378CE" w:rsidP="003378CE">
      <w:pPr>
        <w:rPr>
          <w:rFonts w:ascii="Times New Roman" w:hAnsi="Times New Roman" w:cs="Times New Roman"/>
          <w:b/>
          <w:bCs/>
        </w:rPr>
      </w:pPr>
      <w:r>
        <w:rPr>
          <w:rFonts w:ascii="Times New Roman" w:hAnsi="Times New Roman" w:cs="Times New Roman"/>
          <w:b/>
          <w:bCs/>
        </w:rPr>
        <w:t>Difference-in-Differences</w:t>
      </w:r>
    </w:p>
    <w:p w14:paraId="099B8E11" w14:textId="2BD2834F" w:rsidR="000C53E9" w:rsidRDefault="00BD7154" w:rsidP="005C6F7E">
      <w:pPr>
        <w:ind w:firstLine="720"/>
        <w:rPr>
          <w:rFonts w:ascii="Times New Roman" w:hAnsi="Times New Roman" w:cs="Times New Roman"/>
        </w:rPr>
      </w:pPr>
      <w:r>
        <w:rPr>
          <w:rFonts w:ascii="Times New Roman" w:hAnsi="Times New Roman" w:cs="Times New Roman"/>
        </w:rPr>
        <w:t>Although widely used in the broader social scientific literature</w:t>
      </w:r>
      <w:r w:rsidR="00092D96">
        <w:rPr>
          <w:rFonts w:ascii="Times New Roman" w:hAnsi="Times New Roman" w:cs="Times New Roman"/>
        </w:rPr>
        <w:t xml:space="preserve"> </w:t>
      </w:r>
      <w:r w:rsidR="00092D96" w:rsidRPr="00A55B90">
        <w:rPr>
          <w:rFonts w:ascii="Times New Roman" w:hAnsi="Times New Roman" w:cs="Times New Roman"/>
        </w:rPr>
        <w:t>(</w:t>
      </w:r>
      <w:r w:rsidR="00A55B90" w:rsidRPr="00A55B90">
        <w:rPr>
          <w:rFonts w:ascii="Times New Roman" w:hAnsi="Times New Roman" w:cs="Times New Roman"/>
        </w:rPr>
        <w:t xml:space="preserve">Robinson et al. 2009, </w:t>
      </w:r>
      <w:proofErr w:type="spellStart"/>
      <w:r w:rsidR="00A55B90" w:rsidRPr="00A55B90">
        <w:rPr>
          <w:rFonts w:ascii="Times New Roman" w:hAnsi="Times New Roman" w:cs="Times New Roman"/>
        </w:rPr>
        <w:t>Keele</w:t>
      </w:r>
      <w:proofErr w:type="spellEnd"/>
      <w:r w:rsidR="00A55B90" w:rsidRPr="00A55B90">
        <w:rPr>
          <w:rFonts w:ascii="Times New Roman" w:hAnsi="Times New Roman" w:cs="Times New Roman"/>
        </w:rPr>
        <w:t xml:space="preserve"> and </w:t>
      </w:r>
      <w:proofErr w:type="spellStart"/>
      <w:r w:rsidR="00A55B90" w:rsidRPr="00A55B90">
        <w:rPr>
          <w:rFonts w:ascii="Times New Roman" w:hAnsi="Times New Roman" w:cs="Times New Roman"/>
        </w:rPr>
        <w:t>Minozzi</w:t>
      </w:r>
      <w:proofErr w:type="spellEnd"/>
      <w:r w:rsidR="00A55B90" w:rsidRPr="00A55B90">
        <w:rPr>
          <w:rFonts w:ascii="Times New Roman" w:hAnsi="Times New Roman" w:cs="Times New Roman"/>
        </w:rPr>
        <w:t xml:space="preserve"> 2013, Fredriksson and de Oliveira 2019</w:t>
      </w:r>
      <w:r w:rsidR="00092D96" w:rsidRPr="00A55B90">
        <w:rPr>
          <w:rFonts w:ascii="Times New Roman" w:hAnsi="Times New Roman" w:cs="Times New Roman"/>
        </w:rPr>
        <w:t>)</w:t>
      </w:r>
      <w:r>
        <w:rPr>
          <w:rFonts w:ascii="Times New Roman" w:hAnsi="Times New Roman" w:cs="Times New Roman"/>
        </w:rPr>
        <w:t xml:space="preserve">, </w:t>
      </w:r>
      <w:r w:rsidR="008779A0">
        <w:rPr>
          <w:rFonts w:ascii="Times New Roman" w:hAnsi="Times New Roman" w:cs="Times New Roman"/>
        </w:rPr>
        <w:t xml:space="preserve">the </w:t>
      </w:r>
      <w:r w:rsidR="00EC5744">
        <w:rPr>
          <w:rFonts w:ascii="Times New Roman" w:hAnsi="Times New Roman" w:cs="Times New Roman"/>
        </w:rPr>
        <w:t xml:space="preserve">use of the </w:t>
      </w:r>
      <w:r w:rsidR="008779A0">
        <w:rPr>
          <w:rFonts w:ascii="Times New Roman" w:hAnsi="Times New Roman" w:cs="Times New Roman"/>
        </w:rPr>
        <w:t xml:space="preserve">difference-in-differences (DID) estimator is </w:t>
      </w:r>
      <w:r w:rsidR="00F2297E">
        <w:rPr>
          <w:rFonts w:ascii="Times New Roman" w:hAnsi="Times New Roman" w:cs="Times New Roman"/>
        </w:rPr>
        <w:t>practically non-existent in the peacekeeping literature</w:t>
      </w:r>
      <w:r w:rsidR="00561A47">
        <w:rPr>
          <w:rFonts w:ascii="Times New Roman" w:hAnsi="Times New Roman" w:cs="Times New Roman"/>
        </w:rPr>
        <w:t xml:space="preserve">, </w:t>
      </w:r>
      <w:r w:rsidR="00F2297E">
        <w:rPr>
          <w:rFonts w:ascii="Times New Roman" w:hAnsi="Times New Roman" w:cs="Times New Roman"/>
        </w:rPr>
        <w:t xml:space="preserve">barring </w:t>
      </w:r>
      <w:proofErr w:type="spellStart"/>
      <w:r w:rsidR="00F2297E">
        <w:rPr>
          <w:rFonts w:ascii="Times New Roman" w:hAnsi="Times New Roman" w:cs="Times New Roman"/>
        </w:rPr>
        <w:t>Phayal</w:t>
      </w:r>
      <w:proofErr w:type="spellEnd"/>
      <w:r w:rsidR="00F2297E">
        <w:rPr>
          <w:rFonts w:ascii="Times New Roman" w:hAnsi="Times New Roman" w:cs="Times New Roman"/>
        </w:rPr>
        <w:t xml:space="preserve"> </w:t>
      </w:r>
      <w:r w:rsidR="00561A47">
        <w:rPr>
          <w:rFonts w:ascii="Times New Roman" w:hAnsi="Times New Roman" w:cs="Times New Roman"/>
        </w:rPr>
        <w:t>(</w:t>
      </w:r>
      <w:r w:rsidR="00F2297E">
        <w:rPr>
          <w:rFonts w:ascii="Times New Roman" w:hAnsi="Times New Roman" w:cs="Times New Roman"/>
        </w:rPr>
        <w:t>2019).</w:t>
      </w:r>
      <w:r w:rsidR="00766695">
        <w:rPr>
          <w:rFonts w:ascii="Times New Roman" w:hAnsi="Times New Roman" w:cs="Times New Roman"/>
        </w:rPr>
        <w:t xml:space="preserve"> </w:t>
      </w:r>
      <w:r w:rsidR="00F363BF">
        <w:rPr>
          <w:rFonts w:ascii="Times New Roman" w:hAnsi="Times New Roman" w:cs="Times New Roman"/>
        </w:rPr>
        <w:t xml:space="preserve">This approach allows for causal inferences to be made </w:t>
      </w:r>
      <w:r w:rsidR="0046451C">
        <w:rPr>
          <w:rFonts w:ascii="Times New Roman" w:hAnsi="Times New Roman" w:cs="Times New Roman"/>
        </w:rPr>
        <w:t xml:space="preserve">in non-experimental settings </w:t>
      </w:r>
      <w:r w:rsidR="00F363BF">
        <w:rPr>
          <w:rFonts w:ascii="Times New Roman" w:hAnsi="Times New Roman" w:cs="Times New Roman"/>
        </w:rPr>
        <w:t xml:space="preserve">by </w:t>
      </w:r>
      <w:r w:rsidR="004A38AF">
        <w:rPr>
          <w:rFonts w:ascii="Times New Roman" w:hAnsi="Times New Roman" w:cs="Times New Roman"/>
        </w:rPr>
        <w:t xml:space="preserve">accounting for within-group differences </w:t>
      </w:r>
      <w:r w:rsidR="00EE4010">
        <w:rPr>
          <w:rFonts w:ascii="Times New Roman" w:hAnsi="Times New Roman" w:cs="Times New Roman"/>
        </w:rPr>
        <w:t xml:space="preserve">(pre- and post-treatment) </w:t>
      </w:r>
      <w:r w:rsidR="004A38AF">
        <w:rPr>
          <w:rFonts w:ascii="Times New Roman" w:hAnsi="Times New Roman" w:cs="Times New Roman"/>
        </w:rPr>
        <w:t xml:space="preserve">and between-group differences </w:t>
      </w:r>
      <w:r w:rsidR="00EE4010">
        <w:rPr>
          <w:rFonts w:ascii="Times New Roman" w:hAnsi="Times New Roman" w:cs="Times New Roman"/>
        </w:rPr>
        <w:t xml:space="preserve">(treatment and control) </w:t>
      </w:r>
      <w:r w:rsidR="004A38AF">
        <w:rPr>
          <w:rFonts w:ascii="Times New Roman" w:hAnsi="Times New Roman" w:cs="Times New Roman"/>
        </w:rPr>
        <w:t>over time</w:t>
      </w:r>
      <w:r w:rsidR="00EE4010">
        <w:rPr>
          <w:rFonts w:ascii="Times New Roman" w:hAnsi="Times New Roman" w:cs="Times New Roman"/>
        </w:rPr>
        <w:t>.</w:t>
      </w:r>
      <w:r w:rsidR="004A38AF">
        <w:rPr>
          <w:rFonts w:ascii="Times New Roman" w:hAnsi="Times New Roman" w:cs="Times New Roman"/>
        </w:rPr>
        <w:t xml:space="preserve"> </w:t>
      </w:r>
      <w:r w:rsidR="00FA3B0E">
        <w:rPr>
          <w:rFonts w:ascii="Times New Roman" w:hAnsi="Times New Roman" w:cs="Times New Roman"/>
        </w:rPr>
        <w:t xml:space="preserve">Using this method, the causal effect is estimated as the numerical </w:t>
      </w:r>
      <w:r w:rsidR="00FA3B0E">
        <w:rPr>
          <w:rFonts w:ascii="Times New Roman" w:hAnsi="Times New Roman" w:cs="Times New Roman"/>
          <w:i/>
          <w:iCs/>
        </w:rPr>
        <w:t xml:space="preserve">difference </w:t>
      </w:r>
      <w:r w:rsidR="00FA3B0E">
        <w:rPr>
          <w:rFonts w:ascii="Times New Roman" w:hAnsi="Times New Roman" w:cs="Times New Roman"/>
        </w:rPr>
        <w:t xml:space="preserve">between the </w:t>
      </w:r>
      <w:r w:rsidR="00FA3B0E">
        <w:rPr>
          <w:rFonts w:ascii="Times New Roman" w:hAnsi="Times New Roman" w:cs="Times New Roman"/>
          <w:i/>
          <w:iCs/>
        </w:rPr>
        <w:t xml:space="preserve">difference </w:t>
      </w:r>
      <w:r w:rsidR="00FA3B0E">
        <w:rPr>
          <w:rFonts w:ascii="Times New Roman" w:hAnsi="Times New Roman" w:cs="Times New Roman"/>
        </w:rPr>
        <w:t>between treated and controlled units before and after treatment.</w:t>
      </w:r>
      <w:r w:rsidR="008444F2">
        <w:rPr>
          <w:rFonts w:ascii="Times New Roman" w:hAnsi="Times New Roman" w:cs="Times New Roman"/>
        </w:rPr>
        <w:t xml:space="preserve"> On</w:t>
      </w:r>
      <w:r w:rsidR="00C225A1">
        <w:rPr>
          <w:rFonts w:ascii="Times New Roman" w:hAnsi="Times New Roman" w:cs="Times New Roman"/>
        </w:rPr>
        <w:t>e</w:t>
      </w:r>
      <w:r w:rsidR="008444F2">
        <w:rPr>
          <w:rFonts w:ascii="Times New Roman" w:hAnsi="Times New Roman" w:cs="Times New Roman"/>
        </w:rPr>
        <w:t xml:space="preserve"> can obtain this numerical value by estimating a regression</w:t>
      </w:r>
      <w:r w:rsidR="00F70FED">
        <w:rPr>
          <w:rFonts w:ascii="Times New Roman" w:hAnsi="Times New Roman" w:cs="Times New Roman"/>
        </w:rPr>
        <w:t xml:space="preserve"> model</w:t>
      </w:r>
      <w:r w:rsidR="008444F2">
        <w:rPr>
          <w:rFonts w:ascii="Times New Roman" w:hAnsi="Times New Roman" w:cs="Times New Roman"/>
        </w:rPr>
        <w:t xml:space="preserve">, specifying an interaction between </w:t>
      </w:r>
      <w:r w:rsidR="005B3A69">
        <w:rPr>
          <w:rFonts w:ascii="Times New Roman" w:hAnsi="Times New Roman" w:cs="Times New Roman"/>
        </w:rPr>
        <w:t xml:space="preserve">a dummy denoting whether treatment has taken place and a dummy denoting whether a </w:t>
      </w:r>
      <w:r w:rsidR="00C225A1">
        <w:rPr>
          <w:rFonts w:ascii="Times New Roman" w:hAnsi="Times New Roman" w:cs="Times New Roman"/>
        </w:rPr>
        <w:t xml:space="preserve">unit is exposed to treatment. </w:t>
      </w:r>
      <w:r w:rsidR="00F70FED">
        <w:rPr>
          <w:rFonts w:ascii="Times New Roman" w:hAnsi="Times New Roman" w:cs="Times New Roman"/>
        </w:rPr>
        <w:t xml:space="preserve">The coefficient on this interaction represents the causal effect of the treatment. </w:t>
      </w:r>
      <w:r w:rsidR="006C5C4D">
        <w:rPr>
          <w:rFonts w:ascii="Times New Roman" w:hAnsi="Times New Roman" w:cs="Times New Roman"/>
        </w:rPr>
        <w:t xml:space="preserve">Using this method, it is conceptually helpful to view the causal effect as the difference between the observed outcome for the treated unit and the counter-factual outcome where the treated unit continued its trend prior to treatment. </w:t>
      </w:r>
      <w:r w:rsidR="003F3B02">
        <w:rPr>
          <w:rFonts w:ascii="Times New Roman" w:hAnsi="Times New Roman" w:cs="Times New Roman"/>
        </w:rPr>
        <w:t>The intuitive nature of this approach lends itself well to the goal of making causal inferences from peacekeeping operations</w:t>
      </w:r>
      <w:r w:rsidR="001F361E">
        <w:rPr>
          <w:rFonts w:ascii="Times New Roman" w:hAnsi="Times New Roman" w:cs="Times New Roman"/>
        </w:rPr>
        <w:t xml:space="preserve">. </w:t>
      </w:r>
      <w:r w:rsidR="00426FBA">
        <w:rPr>
          <w:rFonts w:ascii="Times New Roman" w:hAnsi="Times New Roman" w:cs="Times New Roman"/>
        </w:rPr>
        <w:t>Within the context of the study of PKOs</w:t>
      </w:r>
      <w:r w:rsidR="00171E53">
        <w:rPr>
          <w:rFonts w:ascii="Times New Roman" w:hAnsi="Times New Roman" w:cs="Times New Roman"/>
        </w:rPr>
        <w:t xml:space="preserve">, assuming that key assumptions of the method are met, this approach requires at least two similar units </w:t>
      </w:r>
      <w:r w:rsidR="00426FBA">
        <w:rPr>
          <w:rFonts w:ascii="Times New Roman" w:hAnsi="Times New Roman" w:cs="Times New Roman"/>
        </w:rPr>
        <w:t>(states or sub-national units</w:t>
      </w:r>
      <w:r w:rsidR="007E0E46">
        <w:rPr>
          <w:rFonts w:ascii="Times New Roman" w:hAnsi="Times New Roman" w:cs="Times New Roman"/>
        </w:rPr>
        <w:t>, for example</w:t>
      </w:r>
      <w:r w:rsidR="00426FBA">
        <w:rPr>
          <w:rFonts w:ascii="Times New Roman" w:hAnsi="Times New Roman" w:cs="Times New Roman"/>
        </w:rPr>
        <w:t xml:space="preserve">) </w:t>
      </w:r>
      <w:r w:rsidR="00171E53">
        <w:rPr>
          <w:rFonts w:ascii="Times New Roman" w:hAnsi="Times New Roman" w:cs="Times New Roman"/>
        </w:rPr>
        <w:t xml:space="preserve">that differ in their </w:t>
      </w:r>
      <w:r w:rsidR="00426FBA">
        <w:rPr>
          <w:rFonts w:ascii="Times New Roman" w:hAnsi="Times New Roman" w:cs="Times New Roman"/>
        </w:rPr>
        <w:t>exposure to a PKO</w:t>
      </w:r>
      <w:r w:rsidR="00171E53">
        <w:rPr>
          <w:rFonts w:ascii="Times New Roman" w:hAnsi="Times New Roman" w:cs="Times New Roman"/>
        </w:rPr>
        <w:t xml:space="preserve">, with ample data covering pre- and post-treatment </w:t>
      </w:r>
      <w:r w:rsidR="007C5D1C">
        <w:rPr>
          <w:rFonts w:ascii="Times New Roman" w:hAnsi="Times New Roman" w:cs="Times New Roman"/>
        </w:rPr>
        <w:t xml:space="preserve">periods. </w:t>
      </w:r>
      <w:r w:rsidR="00CE3556">
        <w:rPr>
          <w:rFonts w:ascii="Times New Roman" w:hAnsi="Times New Roman" w:cs="Times New Roman"/>
        </w:rPr>
        <w:t xml:space="preserve">While simple in its setup, DID does require </w:t>
      </w:r>
      <w:r w:rsidR="00727790">
        <w:rPr>
          <w:rFonts w:ascii="Times New Roman" w:hAnsi="Times New Roman" w:cs="Times New Roman"/>
        </w:rPr>
        <w:t xml:space="preserve">certain key </w:t>
      </w:r>
      <w:r w:rsidR="00CE3556">
        <w:rPr>
          <w:rFonts w:ascii="Times New Roman" w:hAnsi="Times New Roman" w:cs="Times New Roman"/>
        </w:rPr>
        <w:t xml:space="preserve">assumptions of </w:t>
      </w:r>
      <w:r w:rsidR="00727790">
        <w:rPr>
          <w:rFonts w:ascii="Times New Roman" w:hAnsi="Times New Roman" w:cs="Times New Roman"/>
        </w:rPr>
        <w:t>the method to bet.</w:t>
      </w:r>
    </w:p>
    <w:p w14:paraId="766DA4F3" w14:textId="0819B0EC" w:rsidR="00DB54EE" w:rsidRDefault="00727790" w:rsidP="00DB54EE">
      <w:pPr>
        <w:ind w:firstLine="720"/>
        <w:rPr>
          <w:rFonts w:ascii="Times New Roman" w:hAnsi="Times New Roman" w:cs="Times New Roman"/>
        </w:rPr>
      </w:pPr>
      <w:r>
        <w:rPr>
          <w:rFonts w:ascii="Times New Roman" w:hAnsi="Times New Roman" w:cs="Times New Roman"/>
        </w:rPr>
        <w:t>The most important assumption of DID to</w:t>
      </w:r>
      <w:r w:rsidR="000F602A">
        <w:rPr>
          <w:rFonts w:ascii="Times New Roman" w:hAnsi="Times New Roman" w:cs="Times New Roman"/>
        </w:rPr>
        <w:t xml:space="preserve"> satisfy </w:t>
      </w:r>
      <w:r w:rsidR="00140143">
        <w:rPr>
          <w:rFonts w:ascii="Times New Roman" w:hAnsi="Times New Roman" w:cs="Times New Roman"/>
        </w:rPr>
        <w:t>is the parallel trends assumption</w:t>
      </w:r>
      <w:r w:rsidR="0007165C">
        <w:rPr>
          <w:rFonts w:ascii="Times New Roman" w:hAnsi="Times New Roman" w:cs="Times New Roman"/>
        </w:rPr>
        <w:t xml:space="preserve">. </w:t>
      </w:r>
      <w:r w:rsidR="009917CB">
        <w:rPr>
          <w:rFonts w:ascii="Times New Roman" w:hAnsi="Times New Roman" w:cs="Times New Roman"/>
        </w:rPr>
        <w:t xml:space="preserve">In short, this assumption states that the trend in the outcome for both the treated and control units are parallel prior to treatment. This assumption does not require that values for the outcome should be similar for treated and control units, as treated and control units may already </w:t>
      </w:r>
      <w:r w:rsidR="003B1E50">
        <w:rPr>
          <w:rFonts w:ascii="Times New Roman" w:hAnsi="Times New Roman" w:cs="Times New Roman"/>
        </w:rPr>
        <w:t xml:space="preserve">vary based on unit-specific factors. However, DID does require that the outcome values for treated and control units </w:t>
      </w:r>
      <w:r w:rsidR="001E2060">
        <w:rPr>
          <w:rFonts w:ascii="Times New Roman" w:hAnsi="Times New Roman" w:cs="Times New Roman"/>
        </w:rPr>
        <w:t>follow a common pattern</w:t>
      </w:r>
      <w:r w:rsidR="008406C6">
        <w:rPr>
          <w:rFonts w:ascii="Times New Roman" w:hAnsi="Times New Roman" w:cs="Times New Roman"/>
        </w:rPr>
        <w:t xml:space="preserve"> pre-treatment</w:t>
      </w:r>
      <w:r w:rsidR="001E2060">
        <w:rPr>
          <w:rFonts w:ascii="Times New Roman" w:hAnsi="Times New Roman" w:cs="Times New Roman"/>
        </w:rPr>
        <w:t xml:space="preserve">. </w:t>
      </w:r>
      <w:r w:rsidR="00B52299">
        <w:rPr>
          <w:rFonts w:ascii="Times New Roman" w:hAnsi="Times New Roman" w:cs="Times New Roman"/>
        </w:rPr>
        <w:t xml:space="preserve">If the outcome </w:t>
      </w:r>
      <w:r w:rsidR="00EE28F4">
        <w:rPr>
          <w:rFonts w:ascii="Times New Roman" w:hAnsi="Times New Roman" w:cs="Times New Roman"/>
        </w:rPr>
        <w:t xml:space="preserve">trends upwards in a certain </w:t>
      </w:r>
      <w:proofErr w:type="gramStart"/>
      <w:r w:rsidR="00EE28F4">
        <w:rPr>
          <w:rFonts w:ascii="Times New Roman" w:hAnsi="Times New Roman" w:cs="Times New Roman"/>
        </w:rPr>
        <w:t>time period</w:t>
      </w:r>
      <w:proofErr w:type="gramEnd"/>
      <w:r w:rsidR="00EE28F4">
        <w:rPr>
          <w:rFonts w:ascii="Times New Roman" w:hAnsi="Times New Roman" w:cs="Times New Roman"/>
        </w:rPr>
        <w:t xml:space="preserve"> </w:t>
      </w:r>
      <w:r w:rsidR="004952F9">
        <w:rPr>
          <w:rFonts w:ascii="Times New Roman" w:hAnsi="Times New Roman" w:cs="Times New Roman"/>
        </w:rPr>
        <w:t xml:space="preserve">for the control group, then we should also expect that the trend for the </w:t>
      </w:r>
      <w:r w:rsidR="008406C6">
        <w:rPr>
          <w:rFonts w:ascii="Times New Roman" w:hAnsi="Times New Roman" w:cs="Times New Roman"/>
        </w:rPr>
        <w:t xml:space="preserve">group that will eventually be exposed to the </w:t>
      </w:r>
      <w:r w:rsidR="004952F9">
        <w:rPr>
          <w:rFonts w:ascii="Times New Roman" w:hAnsi="Times New Roman" w:cs="Times New Roman"/>
        </w:rPr>
        <w:t>treat</w:t>
      </w:r>
      <w:r w:rsidR="008406C6">
        <w:rPr>
          <w:rFonts w:ascii="Times New Roman" w:hAnsi="Times New Roman" w:cs="Times New Roman"/>
        </w:rPr>
        <w:t>ment</w:t>
      </w:r>
      <w:r w:rsidR="004952F9">
        <w:rPr>
          <w:rFonts w:ascii="Times New Roman" w:hAnsi="Times New Roman" w:cs="Times New Roman"/>
        </w:rPr>
        <w:t xml:space="preserve"> </w:t>
      </w:r>
      <w:r w:rsidR="008406C6">
        <w:rPr>
          <w:rFonts w:ascii="Times New Roman" w:hAnsi="Times New Roman" w:cs="Times New Roman"/>
        </w:rPr>
        <w:t xml:space="preserve">likewise trends upwards. If the outcome trends downwards </w:t>
      </w:r>
      <w:r w:rsidR="00D85147">
        <w:rPr>
          <w:rFonts w:ascii="Times New Roman" w:hAnsi="Times New Roman" w:cs="Times New Roman"/>
        </w:rPr>
        <w:t xml:space="preserve">at a certain point for the control group, then we should also observe the treated group experiencing a downward trend. </w:t>
      </w:r>
      <w:r w:rsidR="00DD6BFB">
        <w:rPr>
          <w:rFonts w:ascii="Times New Roman" w:hAnsi="Times New Roman" w:cs="Times New Roman"/>
        </w:rPr>
        <w:t xml:space="preserve">Satisfying this assumption is important for two reasons. First, if the trends between the treated and control groups are similar prior to treatment, this provides legitimacy for the control group </w:t>
      </w:r>
      <w:r w:rsidR="00960921">
        <w:rPr>
          <w:rFonts w:ascii="Times New Roman" w:hAnsi="Times New Roman" w:cs="Times New Roman"/>
        </w:rPr>
        <w:t xml:space="preserve">as a valid control. </w:t>
      </w:r>
      <w:r w:rsidR="00E77EFE">
        <w:rPr>
          <w:rFonts w:ascii="Times New Roman" w:hAnsi="Times New Roman" w:cs="Times New Roman"/>
        </w:rPr>
        <w:t xml:space="preserve">Second, </w:t>
      </w:r>
      <w:r w:rsidR="00F40E18">
        <w:rPr>
          <w:rFonts w:ascii="Times New Roman" w:hAnsi="Times New Roman" w:cs="Times New Roman"/>
        </w:rPr>
        <w:t xml:space="preserve">if trends in outcome between treated and </w:t>
      </w:r>
      <w:r w:rsidR="00F40E18">
        <w:rPr>
          <w:rFonts w:ascii="Times New Roman" w:hAnsi="Times New Roman" w:cs="Times New Roman"/>
        </w:rPr>
        <w:lastRenderedPageBreak/>
        <w:t xml:space="preserve">control units are </w:t>
      </w:r>
      <w:r w:rsidR="001C2C60">
        <w:rPr>
          <w:rFonts w:ascii="Times New Roman" w:hAnsi="Times New Roman" w:cs="Times New Roman"/>
        </w:rPr>
        <w:t xml:space="preserve">constant pre-treatment, then all unit-specific factors that </w:t>
      </w:r>
      <w:r w:rsidR="00A3698B">
        <w:rPr>
          <w:rFonts w:ascii="Times New Roman" w:hAnsi="Times New Roman" w:cs="Times New Roman"/>
        </w:rPr>
        <w:t xml:space="preserve">create a difference between treated and non-treated units are controlled for. Importantly, this resolves the issue of researchers being unable to control for all unit-specific confounding factors. </w:t>
      </w:r>
      <w:r w:rsidR="00DB54EE">
        <w:rPr>
          <w:rFonts w:ascii="Times New Roman" w:hAnsi="Times New Roman" w:cs="Times New Roman"/>
        </w:rPr>
        <w:t>Despite alternative values for the outcome between treated and control units, so long as their trends follow a parallel path pre-treatment, then any deviation from the trend post-treatment within the treated group can be explained as a causal effect of the treatment.</w:t>
      </w:r>
    </w:p>
    <w:p w14:paraId="5CA4F359" w14:textId="335CBC89" w:rsidR="005A0716" w:rsidRDefault="000456A7" w:rsidP="00DB54EE">
      <w:pPr>
        <w:ind w:firstLine="720"/>
        <w:rPr>
          <w:rFonts w:ascii="Times New Roman" w:hAnsi="Times New Roman" w:cs="Times New Roman"/>
        </w:rPr>
      </w:pPr>
      <w:r>
        <w:rPr>
          <w:rFonts w:ascii="Times New Roman" w:hAnsi="Times New Roman" w:cs="Times New Roman"/>
        </w:rPr>
        <w:t>Using the DID estimator, this project seeks to contribute to the peacekeeping literature in numerous ways. First, despite a trend in the right direction, much more research is needed in the peacekeeping literature to isolate and determine causal effects. Tools such as DID are easily applicable to t</w:t>
      </w:r>
      <w:r w:rsidR="001A0D9F">
        <w:rPr>
          <w:rFonts w:ascii="Times New Roman" w:hAnsi="Times New Roman" w:cs="Times New Roman"/>
        </w:rPr>
        <w:t xml:space="preserve">his area of study and should be employed to move away </w:t>
      </w:r>
      <w:r w:rsidR="00AF3657">
        <w:rPr>
          <w:rFonts w:ascii="Times New Roman" w:hAnsi="Times New Roman" w:cs="Times New Roman"/>
        </w:rPr>
        <w:t xml:space="preserve">from correlative analyses as researchers are fundamentally interested in the </w:t>
      </w:r>
      <w:r w:rsidR="00AF3657" w:rsidRPr="00AF3657">
        <w:rPr>
          <w:rFonts w:ascii="Times New Roman" w:hAnsi="Times New Roman" w:cs="Times New Roman"/>
          <w:i/>
          <w:iCs/>
        </w:rPr>
        <w:t>causal</w:t>
      </w:r>
      <w:r w:rsidR="00AF3657">
        <w:rPr>
          <w:rFonts w:ascii="Times New Roman" w:hAnsi="Times New Roman" w:cs="Times New Roman"/>
        </w:rPr>
        <w:t xml:space="preserve"> impacts of PKOs. </w:t>
      </w:r>
      <w:r w:rsidR="004A2D5A">
        <w:rPr>
          <w:rFonts w:ascii="Times New Roman" w:hAnsi="Times New Roman" w:cs="Times New Roman"/>
        </w:rPr>
        <w:t xml:space="preserve">Second, this project thoroughly examines the parallel trends assumption. </w:t>
      </w:r>
      <w:r w:rsidR="005A0716">
        <w:rPr>
          <w:rFonts w:ascii="Times New Roman" w:hAnsi="Times New Roman" w:cs="Times New Roman"/>
        </w:rPr>
        <w:t xml:space="preserve">As stated earlier, </w:t>
      </w:r>
      <w:proofErr w:type="spellStart"/>
      <w:r w:rsidR="005A0716">
        <w:rPr>
          <w:rFonts w:ascii="Times New Roman" w:hAnsi="Times New Roman" w:cs="Times New Roman"/>
        </w:rPr>
        <w:t>Phayal</w:t>
      </w:r>
      <w:proofErr w:type="spellEnd"/>
      <w:r w:rsidR="005A0716">
        <w:rPr>
          <w:rFonts w:ascii="Times New Roman" w:hAnsi="Times New Roman" w:cs="Times New Roman"/>
        </w:rPr>
        <w:t xml:space="preserve"> (2019) represents the only prior </w:t>
      </w:r>
      <w:r w:rsidR="00806560">
        <w:rPr>
          <w:rFonts w:ascii="Times New Roman" w:hAnsi="Times New Roman" w:cs="Times New Roman"/>
        </w:rPr>
        <w:t>work in the peacekeeping literature to employ the difference-in-differences estimator.</w:t>
      </w:r>
      <w:r w:rsidR="00173708">
        <w:rPr>
          <w:rFonts w:ascii="Times New Roman" w:hAnsi="Times New Roman" w:cs="Times New Roman"/>
        </w:rPr>
        <w:t xml:space="preserve"> However, this paper </w:t>
      </w:r>
      <w:r w:rsidR="009A5CF9">
        <w:rPr>
          <w:rFonts w:ascii="Times New Roman" w:hAnsi="Times New Roman" w:cs="Times New Roman"/>
        </w:rPr>
        <w:t xml:space="preserve">provides no formal test to assess the satisfaction of the parallel </w:t>
      </w:r>
      <w:proofErr w:type="gramStart"/>
      <w:r w:rsidR="009A5CF9">
        <w:rPr>
          <w:rFonts w:ascii="Times New Roman" w:hAnsi="Times New Roman" w:cs="Times New Roman"/>
        </w:rPr>
        <w:t>trends</w:t>
      </w:r>
      <w:proofErr w:type="gramEnd"/>
      <w:r w:rsidR="009A5CF9">
        <w:rPr>
          <w:rFonts w:ascii="Times New Roman" w:hAnsi="Times New Roman" w:cs="Times New Roman"/>
        </w:rPr>
        <w:t xml:space="preserve"> assumption. Given that the DID estimator relies on the satisfaction of this assumption</w:t>
      </w:r>
      <w:r w:rsidR="000A53EF">
        <w:rPr>
          <w:rFonts w:ascii="Times New Roman" w:hAnsi="Times New Roman" w:cs="Times New Roman"/>
        </w:rPr>
        <w:t xml:space="preserve">, a failure to report this information naturally </w:t>
      </w:r>
      <w:r w:rsidR="00CE19ED">
        <w:rPr>
          <w:rFonts w:ascii="Times New Roman" w:hAnsi="Times New Roman" w:cs="Times New Roman"/>
        </w:rPr>
        <w:t xml:space="preserve">calls for </w:t>
      </w:r>
      <w:r w:rsidR="00F76BBE">
        <w:rPr>
          <w:rFonts w:ascii="Times New Roman" w:hAnsi="Times New Roman" w:cs="Times New Roman"/>
        </w:rPr>
        <w:t xml:space="preserve">skepticism concerning </w:t>
      </w:r>
      <w:r w:rsidR="006D4F6E">
        <w:rPr>
          <w:rFonts w:ascii="Times New Roman" w:hAnsi="Times New Roman" w:cs="Times New Roman"/>
        </w:rPr>
        <w:t xml:space="preserve">a causal interpretation of </w:t>
      </w:r>
      <w:proofErr w:type="spellStart"/>
      <w:r w:rsidR="006D4F6E">
        <w:rPr>
          <w:rFonts w:ascii="Times New Roman" w:hAnsi="Times New Roman" w:cs="Times New Roman"/>
        </w:rPr>
        <w:t>Phayal’s</w:t>
      </w:r>
      <w:proofErr w:type="spellEnd"/>
      <w:r w:rsidR="006D4F6E">
        <w:rPr>
          <w:rFonts w:ascii="Times New Roman" w:hAnsi="Times New Roman" w:cs="Times New Roman"/>
        </w:rPr>
        <w:t xml:space="preserve"> (2019) results.</w:t>
      </w:r>
      <w:r w:rsidR="0041792C">
        <w:rPr>
          <w:rFonts w:ascii="Times New Roman" w:hAnsi="Times New Roman" w:cs="Times New Roman"/>
        </w:rPr>
        <w:t xml:space="preserve"> Third, while DID accounts for time-invariant confounding factors, it does not naturally account for </w:t>
      </w:r>
      <w:r w:rsidR="00D33F82">
        <w:rPr>
          <w:rFonts w:ascii="Times New Roman" w:hAnsi="Times New Roman" w:cs="Times New Roman"/>
        </w:rPr>
        <w:t xml:space="preserve">potential </w:t>
      </w:r>
      <w:r w:rsidR="0041792C">
        <w:rPr>
          <w:rFonts w:ascii="Times New Roman" w:hAnsi="Times New Roman" w:cs="Times New Roman"/>
        </w:rPr>
        <w:t>time-variant confounders. As a result, formal metrics</w:t>
      </w:r>
      <w:r w:rsidR="00254E92">
        <w:rPr>
          <w:rFonts w:ascii="Times New Roman" w:hAnsi="Times New Roman" w:cs="Times New Roman"/>
        </w:rPr>
        <w:t xml:space="preserve">, such as sensitivity analysis methods, </w:t>
      </w:r>
      <w:r w:rsidR="0041792C">
        <w:rPr>
          <w:rFonts w:ascii="Times New Roman" w:hAnsi="Times New Roman" w:cs="Times New Roman"/>
        </w:rPr>
        <w:t xml:space="preserve">are needed to </w:t>
      </w:r>
      <w:r w:rsidR="00355531">
        <w:rPr>
          <w:rFonts w:ascii="Times New Roman" w:hAnsi="Times New Roman" w:cs="Times New Roman"/>
        </w:rPr>
        <w:t xml:space="preserve">determine </w:t>
      </w:r>
      <w:r w:rsidR="007B6CC6">
        <w:rPr>
          <w:rFonts w:ascii="Times New Roman" w:hAnsi="Times New Roman" w:cs="Times New Roman"/>
        </w:rPr>
        <w:t xml:space="preserve">the extent to which unobserved confounding </w:t>
      </w:r>
      <w:r w:rsidR="00254E92">
        <w:rPr>
          <w:rFonts w:ascii="Times New Roman" w:hAnsi="Times New Roman" w:cs="Times New Roman"/>
        </w:rPr>
        <w:t xml:space="preserve">remains a problem post-model specification. To my knowledge, this paper will be the first to use sensitivity analysis in the peacekeeping literature. </w:t>
      </w:r>
      <w:r w:rsidR="00F131E8">
        <w:rPr>
          <w:rFonts w:ascii="Times New Roman" w:hAnsi="Times New Roman" w:cs="Times New Roman"/>
        </w:rPr>
        <w:t xml:space="preserve">In the following section, I outline the strategy of </w:t>
      </w:r>
      <w:r w:rsidR="00FC0C46">
        <w:rPr>
          <w:rFonts w:ascii="Times New Roman" w:hAnsi="Times New Roman" w:cs="Times New Roman"/>
        </w:rPr>
        <w:t>this DID design</w:t>
      </w:r>
      <w:r w:rsidR="00EF1BDE">
        <w:rPr>
          <w:rFonts w:ascii="Times New Roman" w:hAnsi="Times New Roman" w:cs="Times New Roman"/>
        </w:rPr>
        <w:t xml:space="preserve">, outlining the logic of the selection of treated and control units, the operationalization of </w:t>
      </w:r>
      <w:r w:rsidR="0021640B">
        <w:rPr>
          <w:rFonts w:ascii="Times New Roman" w:hAnsi="Times New Roman" w:cs="Times New Roman"/>
        </w:rPr>
        <w:t xml:space="preserve">peace as an outcome, the tests </w:t>
      </w:r>
      <w:r w:rsidR="00ED397B">
        <w:rPr>
          <w:rFonts w:ascii="Times New Roman" w:hAnsi="Times New Roman" w:cs="Times New Roman"/>
        </w:rPr>
        <w:t>utilized</w:t>
      </w:r>
      <w:r w:rsidR="0021640B">
        <w:rPr>
          <w:rFonts w:ascii="Times New Roman" w:hAnsi="Times New Roman" w:cs="Times New Roman"/>
        </w:rPr>
        <w:t xml:space="preserve"> to assess the parallel trends assumption, </w:t>
      </w:r>
      <w:r w:rsidR="00ED397B">
        <w:rPr>
          <w:rFonts w:ascii="Times New Roman" w:hAnsi="Times New Roman" w:cs="Times New Roman"/>
        </w:rPr>
        <w:t xml:space="preserve">the selection and management of covariates, </w:t>
      </w:r>
      <w:r w:rsidR="000C761A">
        <w:rPr>
          <w:rFonts w:ascii="Times New Roman" w:hAnsi="Times New Roman" w:cs="Times New Roman"/>
        </w:rPr>
        <w:t xml:space="preserve">the methods </w:t>
      </w:r>
      <w:r w:rsidR="00B96D06">
        <w:rPr>
          <w:rFonts w:ascii="Times New Roman" w:hAnsi="Times New Roman" w:cs="Times New Roman"/>
        </w:rPr>
        <w:t xml:space="preserve">used </w:t>
      </w:r>
      <w:r w:rsidR="000C761A">
        <w:rPr>
          <w:rFonts w:ascii="Times New Roman" w:hAnsi="Times New Roman" w:cs="Times New Roman"/>
        </w:rPr>
        <w:t xml:space="preserve">to </w:t>
      </w:r>
      <w:r w:rsidR="00ED397B">
        <w:rPr>
          <w:rFonts w:ascii="Times New Roman" w:hAnsi="Times New Roman" w:cs="Times New Roman"/>
        </w:rPr>
        <w:t>manag</w:t>
      </w:r>
      <w:r w:rsidR="000C761A">
        <w:rPr>
          <w:rFonts w:ascii="Times New Roman" w:hAnsi="Times New Roman" w:cs="Times New Roman"/>
        </w:rPr>
        <w:t>e</w:t>
      </w:r>
      <w:r w:rsidR="00ED397B">
        <w:rPr>
          <w:rFonts w:ascii="Times New Roman" w:hAnsi="Times New Roman" w:cs="Times New Roman"/>
        </w:rPr>
        <w:t xml:space="preserve"> </w:t>
      </w:r>
      <w:r w:rsidR="001F487F">
        <w:rPr>
          <w:rFonts w:ascii="Times New Roman" w:hAnsi="Times New Roman" w:cs="Times New Roman"/>
        </w:rPr>
        <w:t>spillover effects</w:t>
      </w:r>
      <w:r w:rsidR="00662A98">
        <w:rPr>
          <w:rFonts w:ascii="Times New Roman" w:hAnsi="Times New Roman" w:cs="Times New Roman"/>
        </w:rPr>
        <w:t>, and the type of sensitivity analysis employed.</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5EF23BDB" w14:textId="32F5D9FC"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AE0975">
        <w:rPr>
          <w:rFonts w:ascii="Times New Roman" w:hAnsi="Times New Roman" w:cs="Times New Roman"/>
          <w:i/>
          <w:iCs/>
        </w:rPr>
        <w:t>s</w:t>
      </w:r>
    </w:p>
    <w:p w14:paraId="1CB86FEA" w14:textId="7C3DFC49" w:rsidR="00AE0975" w:rsidRDefault="00AE0975" w:rsidP="00021549">
      <w:pPr>
        <w:rPr>
          <w:rFonts w:ascii="Times New Roman" w:hAnsi="Times New Roman" w:cs="Times New Roman"/>
          <w:i/>
          <w:iCs/>
        </w:rPr>
      </w:pPr>
      <w:r>
        <w:rPr>
          <w:rFonts w:ascii="Times New Roman" w:hAnsi="Times New Roman" w:cs="Times New Roman"/>
          <w:i/>
          <w:iCs/>
        </w:rPr>
        <w:t>Treatment Measurements</w:t>
      </w:r>
      <w:r w:rsidR="00A16651">
        <w:rPr>
          <w:rFonts w:ascii="Times New Roman" w:hAnsi="Times New Roman" w:cs="Times New Roman"/>
          <w:i/>
          <w:iCs/>
        </w:rPr>
        <w:t xml:space="preserve"> (Robustness Checks for PKO measurement, simple dummy, and </w:t>
      </w:r>
      <w:r w:rsidR="00306F39">
        <w:rPr>
          <w:rFonts w:ascii="Times New Roman" w:hAnsi="Times New Roman" w:cs="Times New Roman"/>
          <w:i/>
          <w:iCs/>
        </w:rPr>
        <w:t>continuous treatment</w:t>
      </w:r>
      <w:r w:rsidR="00A16651">
        <w:rPr>
          <w:rFonts w:ascii="Times New Roman" w:hAnsi="Times New Roman" w:cs="Times New Roman"/>
          <w:i/>
          <w:iCs/>
        </w:rPr>
        <w:t>)</w:t>
      </w:r>
    </w:p>
    <w:p w14:paraId="331DC23E" w14:textId="3DD9B581" w:rsidR="00784E17" w:rsidRDefault="00784E17" w:rsidP="00784E17">
      <w:pPr>
        <w:rPr>
          <w:rFonts w:ascii="Times New Roman" w:hAnsi="Times New Roman" w:cs="Times New Roman"/>
          <w:i/>
          <w:iCs/>
        </w:rPr>
      </w:pPr>
      <w:r>
        <w:rPr>
          <w:rFonts w:ascii="Times New Roman" w:hAnsi="Times New Roman" w:cs="Times New Roman"/>
          <w:i/>
          <w:iCs/>
        </w:rPr>
        <w:t>Control Variables</w:t>
      </w:r>
      <w:r w:rsidR="00B14767">
        <w:rPr>
          <w:rFonts w:ascii="Times New Roman" w:hAnsi="Times New Roman" w:cs="Times New Roman"/>
          <w:i/>
          <w:iCs/>
        </w:rPr>
        <w:t xml:space="preserve"> (Show DAG?)</w:t>
      </w:r>
    </w:p>
    <w:p w14:paraId="37A50391" w14:textId="66CE2159" w:rsidR="0041726B" w:rsidRDefault="0041726B" w:rsidP="00784E17">
      <w:pPr>
        <w:rPr>
          <w:rFonts w:ascii="Times New Roman" w:hAnsi="Times New Roman" w:cs="Times New Roman"/>
          <w:i/>
          <w:iCs/>
        </w:rPr>
      </w:pPr>
      <w:r>
        <w:rPr>
          <w:rFonts w:ascii="Times New Roman" w:hAnsi="Times New Roman" w:cs="Times New Roman"/>
          <w:i/>
          <w:iCs/>
        </w:rPr>
        <w:t>Estimation</w:t>
      </w:r>
      <w:r w:rsidR="009A4969">
        <w:rPr>
          <w:rFonts w:ascii="Times New Roman" w:hAnsi="Times New Roman" w:cs="Times New Roman"/>
          <w:i/>
          <w:iCs/>
        </w:rPr>
        <w:t xml:space="preserve"> (Different Weighting for Treatment Effects?</w:t>
      </w:r>
      <w:r w:rsidR="00105ED8">
        <w:rPr>
          <w:rFonts w:ascii="Times New Roman" w:hAnsi="Times New Roman" w:cs="Times New Roman"/>
          <w:i/>
          <w:iCs/>
        </w:rPr>
        <w:t>, Graph of Weights (See Andrew’s Chapter</w:t>
      </w:r>
      <w:r w:rsidR="009A4969">
        <w:rPr>
          <w:rFonts w:ascii="Times New Roman" w:hAnsi="Times New Roman" w:cs="Times New Roman"/>
          <w:i/>
          <w:iCs/>
        </w:rPr>
        <w:t>)</w:t>
      </w:r>
      <w:r w:rsidR="006E0C3B">
        <w:rPr>
          <w:rFonts w:ascii="Times New Roman" w:hAnsi="Times New Roman" w:cs="Times New Roman"/>
          <w:i/>
          <w:iCs/>
        </w:rPr>
        <w:t>, Balancing Assessment</w:t>
      </w:r>
      <w:r w:rsidR="008506CC">
        <w:rPr>
          <w:rFonts w:ascii="Times New Roman" w:hAnsi="Times New Roman" w:cs="Times New Roman"/>
          <w:i/>
          <w:iCs/>
        </w:rPr>
        <w:t xml:space="preserve"> – Balancing Table </w:t>
      </w:r>
      <w:proofErr w:type="gramStart"/>
      <w:r w:rsidR="008506CC">
        <w:rPr>
          <w:rFonts w:ascii="Times New Roman" w:hAnsi="Times New Roman" w:cs="Times New Roman"/>
          <w:i/>
          <w:iCs/>
        </w:rPr>
        <w:t>With</w:t>
      </w:r>
      <w:proofErr w:type="gramEnd"/>
      <w:r w:rsidR="008506CC">
        <w:rPr>
          <w:rFonts w:ascii="Times New Roman" w:hAnsi="Times New Roman" w:cs="Times New Roman"/>
          <w:i/>
          <w:iCs/>
        </w:rPr>
        <w:t xml:space="preserve"> Mean and Density Plots</w:t>
      </w:r>
    </w:p>
    <w:p w14:paraId="1109661C" w14:textId="1860271E" w:rsidR="00037F64" w:rsidRDefault="00037F64" w:rsidP="00784E17">
      <w:pPr>
        <w:rPr>
          <w:rFonts w:ascii="Times New Roman" w:hAnsi="Times New Roman" w:cs="Times New Roman"/>
        </w:rPr>
      </w:pPr>
      <w:r>
        <w:rPr>
          <w:rFonts w:ascii="Times New Roman" w:hAnsi="Times New Roman" w:cs="Times New Roman"/>
          <w:i/>
          <w:iCs/>
        </w:rPr>
        <w:t xml:space="preserve">Robustness Checks (Adjusting </w:t>
      </w:r>
      <w:proofErr w:type="gramStart"/>
      <w:r>
        <w:rPr>
          <w:rFonts w:ascii="Times New Roman" w:hAnsi="Times New Roman" w:cs="Times New Roman"/>
          <w:i/>
          <w:iCs/>
        </w:rPr>
        <w:t>With</w:t>
      </w:r>
      <w:proofErr w:type="gramEnd"/>
      <w:r>
        <w:rPr>
          <w:rFonts w:ascii="Times New Roman" w:hAnsi="Times New Roman" w:cs="Times New Roman"/>
          <w:i/>
          <w:iCs/>
        </w:rPr>
        <w:t xml:space="preserve"> Covariates, Other Matching</w:t>
      </w:r>
      <w:r w:rsidR="00306F39">
        <w:rPr>
          <w:rFonts w:ascii="Times New Roman" w:hAnsi="Times New Roman" w:cs="Times New Roman"/>
          <w:i/>
          <w:iCs/>
        </w:rPr>
        <w:t>)</w:t>
      </w:r>
    </w:p>
    <w:p w14:paraId="2587AEF0" w14:textId="4B7BF01A" w:rsidR="00256CB3" w:rsidRDefault="00256CB3" w:rsidP="00021549">
      <w:pPr>
        <w:rPr>
          <w:rFonts w:ascii="Times New Roman" w:hAnsi="Times New Roman" w:cs="Times New Roman"/>
        </w:rPr>
      </w:pPr>
      <w:r w:rsidRPr="00922F45">
        <w:rPr>
          <w:rFonts w:ascii="Times New Roman" w:hAnsi="Times New Roman" w:cs="Times New Roman"/>
          <w:i/>
          <w:iCs/>
          <w:highlight w:val="yellow"/>
        </w:rPr>
        <w:t>Addressing SUTVA</w:t>
      </w:r>
    </w:p>
    <w:p w14:paraId="033703BD" w14:textId="504F94F2" w:rsidR="00784E17" w:rsidRPr="00784E17" w:rsidRDefault="00CF3260" w:rsidP="00784E17">
      <w:pPr>
        <w:ind w:firstLine="720"/>
        <w:rPr>
          <w:rFonts w:ascii="Times New Roman" w:hAnsi="Times New Roman" w:cs="Times New Roman"/>
        </w:rPr>
      </w:pPr>
      <w:r>
        <w:rPr>
          <w:rFonts w:ascii="Times New Roman" w:hAnsi="Times New Roman" w:cs="Times New Roman"/>
        </w:rPr>
        <w:t xml:space="preserve">A crucial assumption required to make causal inferences in general, regardless of the method employed, is the Stable Unit Treatment Value Assumption (SUTVA). For SUTVA to be satisfied, researchers should ensure that no spillover effects are present for units that receive treatment. If this does occur, it is difficult to isolate the causal impact of a treatment given that the outcome of some non-treated units may be tainted by the effects of treatment for other units. Indeed, especially within the context of the conflict and conflict management literatures, spillover effects are a near-constant concern as the effects of conflict and conflict management techniques tend to be “contagious” and effect contiguous non-treated areas. While this may be a positive policy feature for those seeking to maximize the pacifying potential of their conflict management program, it can be a headache for scholars seeking to isolate a causal effect of </w:t>
      </w:r>
      <w:r>
        <w:rPr>
          <w:rFonts w:ascii="Times New Roman" w:hAnsi="Times New Roman" w:cs="Times New Roman"/>
        </w:rPr>
        <w:lastRenderedPageBreak/>
        <w:t xml:space="preserve">such a program. </w:t>
      </w:r>
      <w:r w:rsidRPr="002C0466">
        <w:rPr>
          <w:rFonts w:ascii="Times New Roman" w:hAnsi="Times New Roman" w:cs="Times New Roman"/>
          <w:highlight w:val="yellow"/>
        </w:rPr>
        <w:t>IPW can be used (</w:t>
      </w:r>
      <w:r>
        <w:rPr>
          <w:rFonts w:ascii="Times New Roman" w:hAnsi="Times New Roman" w:cs="Times New Roman"/>
          <w:highlight w:val="yellow"/>
        </w:rPr>
        <w:t>Saul and Hudgens 2017</w:t>
      </w:r>
      <w:r w:rsidRPr="002C0466">
        <w:rPr>
          <w:rFonts w:ascii="Times New Roman" w:hAnsi="Times New Roman" w:cs="Times New Roman"/>
          <w:highlight w:val="yellow"/>
        </w:rPr>
        <w:t>). IPW can be used for DID but problems (</w:t>
      </w:r>
      <w:r>
        <w:rPr>
          <w:rFonts w:ascii="Times New Roman" w:hAnsi="Times New Roman" w:cs="Times New Roman"/>
          <w:highlight w:val="yellow"/>
        </w:rPr>
        <w:t>Stuart et al. 2014</w:t>
      </w:r>
      <w:r w:rsidRPr="002C0466">
        <w:rPr>
          <w:rFonts w:ascii="Times New Roman" w:hAnsi="Times New Roman" w:cs="Times New Roman"/>
          <w:highlight w:val="yellow"/>
        </w:rPr>
        <w:t>).</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9644EC2" w14:textId="74981161" w:rsidR="00021549" w:rsidRDefault="00021549">
      <w:pPr>
        <w:rPr>
          <w:rFonts w:ascii="Times New Roman" w:hAnsi="Times New Roman" w:cs="Times New Roman"/>
        </w:rPr>
      </w:pPr>
      <w:r>
        <w:rPr>
          <w:rFonts w:ascii="Times New Roman" w:hAnsi="Times New Roman" w:cs="Times New Roman"/>
          <w:b/>
          <w:bCs/>
        </w:rPr>
        <w:t>Results</w:t>
      </w:r>
    </w:p>
    <w:p w14:paraId="08DFB864" w14:textId="0E89694C" w:rsidR="00284E77" w:rsidRPr="00284E77" w:rsidRDefault="00284E77">
      <w:pPr>
        <w:rPr>
          <w:rFonts w:ascii="Times New Roman" w:hAnsi="Times New Roman" w:cs="Times New Roman"/>
          <w:i/>
          <w:iCs/>
        </w:rPr>
      </w:pPr>
      <w:r>
        <w:rPr>
          <w:rFonts w:ascii="Times New Roman" w:hAnsi="Times New Roman" w:cs="Times New Roman"/>
          <w:i/>
          <w:iCs/>
        </w:rPr>
        <w:t>Balancing to Assess Matched Sample</w:t>
      </w:r>
    </w:p>
    <w:p w14:paraId="3FDBBD68" w14:textId="6CA28BE2" w:rsidR="000A10AB" w:rsidRDefault="000A10AB">
      <w:pPr>
        <w:rPr>
          <w:rFonts w:ascii="Times New Roman" w:hAnsi="Times New Roman" w:cs="Times New Roman"/>
          <w:i/>
          <w:iCs/>
        </w:rPr>
      </w:pPr>
      <w:r>
        <w:rPr>
          <w:rFonts w:ascii="Times New Roman" w:hAnsi="Times New Roman" w:cs="Times New Roman"/>
          <w:i/>
          <w:iCs/>
        </w:rPr>
        <w:t xml:space="preserve">See Andrew </w:t>
      </w:r>
      <w:proofErr w:type="spellStart"/>
      <w:r>
        <w:rPr>
          <w:rFonts w:ascii="Times New Roman" w:hAnsi="Times New Roman" w:cs="Times New Roman"/>
          <w:i/>
          <w:iCs/>
        </w:rPr>
        <w:t>Heiss’s</w:t>
      </w:r>
      <w:proofErr w:type="spellEnd"/>
      <w:r>
        <w:rPr>
          <w:rFonts w:ascii="Times New Roman" w:hAnsi="Times New Roman" w:cs="Times New Roman"/>
          <w:i/>
          <w:iCs/>
        </w:rPr>
        <w:t xml:space="preserve"> Blog Post for How to Visualize These Effects</w:t>
      </w:r>
    </w:p>
    <w:p w14:paraId="32DD4B3F" w14:textId="0E8C5766" w:rsidR="00500DE3" w:rsidRPr="000A10AB" w:rsidRDefault="00500DE3">
      <w:pPr>
        <w:rPr>
          <w:rFonts w:ascii="Times New Roman" w:hAnsi="Times New Roman" w:cs="Times New Roman"/>
          <w:i/>
          <w:iCs/>
        </w:rPr>
      </w:pPr>
      <w:r>
        <w:rPr>
          <w:rFonts w:ascii="Times New Roman" w:hAnsi="Times New Roman" w:cs="Times New Roman"/>
          <w:i/>
          <w:iCs/>
        </w:rPr>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DCE3" w14:textId="77777777" w:rsidR="008B5438" w:rsidRDefault="008B5438" w:rsidP="004F1A46">
      <w:pPr>
        <w:spacing w:after="0" w:line="240" w:lineRule="auto"/>
      </w:pPr>
      <w:r>
        <w:separator/>
      </w:r>
    </w:p>
  </w:endnote>
  <w:endnote w:type="continuationSeparator" w:id="0">
    <w:p w14:paraId="3A4DA7E3" w14:textId="77777777" w:rsidR="008B5438" w:rsidRDefault="008B5438"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E845" w14:textId="77777777" w:rsidR="008B5438" w:rsidRDefault="008B5438" w:rsidP="004F1A46">
      <w:pPr>
        <w:spacing w:after="0" w:line="240" w:lineRule="auto"/>
      </w:pPr>
      <w:r>
        <w:separator/>
      </w:r>
    </w:p>
  </w:footnote>
  <w:footnote w:type="continuationSeparator" w:id="0">
    <w:p w14:paraId="4896A826" w14:textId="77777777" w:rsidR="008B5438" w:rsidRDefault="008B5438" w:rsidP="004F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 w:numId="2" w16cid:durableId="211963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549"/>
    <w:rsid w:val="00023A36"/>
    <w:rsid w:val="00037F64"/>
    <w:rsid w:val="00042D34"/>
    <w:rsid w:val="000456A7"/>
    <w:rsid w:val="00061C24"/>
    <w:rsid w:val="0006503E"/>
    <w:rsid w:val="0007165C"/>
    <w:rsid w:val="00077A99"/>
    <w:rsid w:val="00082570"/>
    <w:rsid w:val="00092D96"/>
    <w:rsid w:val="000A10AB"/>
    <w:rsid w:val="000A4418"/>
    <w:rsid w:val="000A53EF"/>
    <w:rsid w:val="000B5540"/>
    <w:rsid w:val="000C53E9"/>
    <w:rsid w:val="000C5B66"/>
    <w:rsid w:val="000C761A"/>
    <w:rsid w:val="000E7678"/>
    <w:rsid w:val="000F602A"/>
    <w:rsid w:val="00105ED8"/>
    <w:rsid w:val="00114A1A"/>
    <w:rsid w:val="00115E69"/>
    <w:rsid w:val="001245EB"/>
    <w:rsid w:val="00135A07"/>
    <w:rsid w:val="00140143"/>
    <w:rsid w:val="00171E53"/>
    <w:rsid w:val="00173708"/>
    <w:rsid w:val="0018147B"/>
    <w:rsid w:val="001A0D9F"/>
    <w:rsid w:val="001C2C60"/>
    <w:rsid w:val="001E2060"/>
    <w:rsid w:val="001E4411"/>
    <w:rsid w:val="001F361E"/>
    <w:rsid w:val="001F487F"/>
    <w:rsid w:val="00210387"/>
    <w:rsid w:val="00210F47"/>
    <w:rsid w:val="0021640B"/>
    <w:rsid w:val="00220BCE"/>
    <w:rsid w:val="00235132"/>
    <w:rsid w:val="00247B2E"/>
    <w:rsid w:val="00254CD8"/>
    <w:rsid w:val="00254E92"/>
    <w:rsid w:val="00256CB3"/>
    <w:rsid w:val="00281003"/>
    <w:rsid w:val="00283DAC"/>
    <w:rsid w:val="00284E77"/>
    <w:rsid w:val="002A3935"/>
    <w:rsid w:val="002A4582"/>
    <w:rsid w:val="002B026C"/>
    <w:rsid w:val="002C0466"/>
    <w:rsid w:val="002E5DB6"/>
    <w:rsid w:val="002F5BE3"/>
    <w:rsid w:val="00306F39"/>
    <w:rsid w:val="00311779"/>
    <w:rsid w:val="00336EA9"/>
    <w:rsid w:val="003378CE"/>
    <w:rsid w:val="00342B65"/>
    <w:rsid w:val="003539A6"/>
    <w:rsid w:val="00355531"/>
    <w:rsid w:val="0035694E"/>
    <w:rsid w:val="00375BBB"/>
    <w:rsid w:val="00396911"/>
    <w:rsid w:val="003B1E50"/>
    <w:rsid w:val="003C37C7"/>
    <w:rsid w:val="003C5938"/>
    <w:rsid w:val="003D60B2"/>
    <w:rsid w:val="003E2A01"/>
    <w:rsid w:val="003F3B02"/>
    <w:rsid w:val="003F40B2"/>
    <w:rsid w:val="003F54D6"/>
    <w:rsid w:val="00410D98"/>
    <w:rsid w:val="0041726B"/>
    <w:rsid w:val="0041792C"/>
    <w:rsid w:val="00426FBA"/>
    <w:rsid w:val="00442413"/>
    <w:rsid w:val="0044488D"/>
    <w:rsid w:val="00451A5D"/>
    <w:rsid w:val="004578BA"/>
    <w:rsid w:val="0046175F"/>
    <w:rsid w:val="0046451C"/>
    <w:rsid w:val="00494C01"/>
    <w:rsid w:val="004952F9"/>
    <w:rsid w:val="004A2D5A"/>
    <w:rsid w:val="004A38AF"/>
    <w:rsid w:val="004C5C66"/>
    <w:rsid w:val="004D232E"/>
    <w:rsid w:val="004D65CD"/>
    <w:rsid w:val="004F1A46"/>
    <w:rsid w:val="00500470"/>
    <w:rsid w:val="00500DE3"/>
    <w:rsid w:val="005303B0"/>
    <w:rsid w:val="0053587D"/>
    <w:rsid w:val="005506E6"/>
    <w:rsid w:val="00550C59"/>
    <w:rsid w:val="00550E9B"/>
    <w:rsid w:val="00561A47"/>
    <w:rsid w:val="00575260"/>
    <w:rsid w:val="00580660"/>
    <w:rsid w:val="005828AE"/>
    <w:rsid w:val="00594DAB"/>
    <w:rsid w:val="005A0716"/>
    <w:rsid w:val="005B361E"/>
    <w:rsid w:val="005B3A69"/>
    <w:rsid w:val="005C6F7E"/>
    <w:rsid w:val="005C770E"/>
    <w:rsid w:val="005E0829"/>
    <w:rsid w:val="005E634B"/>
    <w:rsid w:val="005E798F"/>
    <w:rsid w:val="0060417B"/>
    <w:rsid w:val="006133DC"/>
    <w:rsid w:val="00624BC0"/>
    <w:rsid w:val="00642762"/>
    <w:rsid w:val="00645301"/>
    <w:rsid w:val="00656108"/>
    <w:rsid w:val="00662A98"/>
    <w:rsid w:val="00681148"/>
    <w:rsid w:val="00685245"/>
    <w:rsid w:val="006A1595"/>
    <w:rsid w:val="006A19F6"/>
    <w:rsid w:val="006A3C35"/>
    <w:rsid w:val="006A5DB1"/>
    <w:rsid w:val="006A70A4"/>
    <w:rsid w:val="006B2816"/>
    <w:rsid w:val="006C08ED"/>
    <w:rsid w:val="006C5C4D"/>
    <w:rsid w:val="006D0124"/>
    <w:rsid w:val="006D4F6E"/>
    <w:rsid w:val="006D6CD2"/>
    <w:rsid w:val="006E0C3B"/>
    <w:rsid w:val="006E1FFD"/>
    <w:rsid w:val="00711D41"/>
    <w:rsid w:val="00716020"/>
    <w:rsid w:val="00724F92"/>
    <w:rsid w:val="00727790"/>
    <w:rsid w:val="0073049A"/>
    <w:rsid w:val="00731105"/>
    <w:rsid w:val="00735B08"/>
    <w:rsid w:val="00743C0C"/>
    <w:rsid w:val="00746174"/>
    <w:rsid w:val="00751C1A"/>
    <w:rsid w:val="007559B2"/>
    <w:rsid w:val="00762540"/>
    <w:rsid w:val="00765068"/>
    <w:rsid w:val="00766695"/>
    <w:rsid w:val="007727A7"/>
    <w:rsid w:val="00782D06"/>
    <w:rsid w:val="00784E17"/>
    <w:rsid w:val="00792790"/>
    <w:rsid w:val="007A1FC3"/>
    <w:rsid w:val="007A6D49"/>
    <w:rsid w:val="007A7F83"/>
    <w:rsid w:val="007B6CC6"/>
    <w:rsid w:val="007C223A"/>
    <w:rsid w:val="007C5D1C"/>
    <w:rsid w:val="007C6400"/>
    <w:rsid w:val="007D3732"/>
    <w:rsid w:val="007D62E1"/>
    <w:rsid w:val="007E0E46"/>
    <w:rsid w:val="007F2B93"/>
    <w:rsid w:val="007F576D"/>
    <w:rsid w:val="00801CF8"/>
    <w:rsid w:val="00806560"/>
    <w:rsid w:val="00806773"/>
    <w:rsid w:val="00824BBE"/>
    <w:rsid w:val="008406C6"/>
    <w:rsid w:val="00844338"/>
    <w:rsid w:val="008444F2"/>
    <w:rsid w:val="00844D0C"/>
    <w:rsid w:val="008506CC"/>
    <w:rsid w:val="00851948"/>
    <w:rsid w:val="00854355"/>
    <w:rsid w:val="008720AE"/>
    <w:rsid w:val="00876438"/>
    <w:rsid w:val="008770FA"/>
    <w:rsid w:val="008779A0"/>
    <w:rsid w:val="008A7695"/>
    <w:rsid w:val="008B5438"/>
    <w:rsid w:val="008B7E40"/>
    <w:rsid w:val="008C1182"/>
    <w:rsid w:val="008C5673"/>
    <w:rsid w:val="008D5C03"/>
    <w:rsid w:val="008F79CB"/>
    <w:rsid w:val="009011A0"/>
    <w:rsid w:val="00917B83"/>
    <w:rsid w:val="0092045C"/>
    <w:rsid w:val="00921D1E"/>
    <w:rsid w:val="00922F45"/>
    <w:rsid w:val="009303F5"/>
    <w:rsid w:val="009307B7"/>
    <w:rsid w:val="00956629"/>
    <w:rsid w:val="00960921"/>
    <w:rsid w:val="00971A02"/>
    <w:rsid w:val="00971F91"/>
    <w:rsid w:val="00976FEF"/>
    <w:rsid w:val="009844BF"/>
    <w:rsid w:val="009917CB"/>
    <w:rsid w:val="00996F3A"/>
    <w:rsid w:val="009A4969"/>
    <w:rsid w:val="009A5CF9"/>
    <w:rsid w:val="009B2E74"/>
    <w:rsid w:val="009B7A76"/>
    <w:rsid w:val="009C5AE2"/>
    <w:rsid w:val="009C7DA7"/>
    <w:rsid w:val="009F707A"/>
    <w:rsid w:val="00A037D6"/>
    <w:rsid w:val="00A06206"/>
    <w:rsid w:val="00A072B1"/>
    <w:rsid w:val="00A074A3"/>
    <w:rsid w:val="00A16651"/>
    <w:rsid w:val="00A3562A"/>
    <w:rsid w:val="00A3698B"/>
    <w:rsid w:val="00A4509E"/>
    <w:rsid w:val="00A526CF"/>
    <w:rsid w:val="00A52C1E"/>
    <w:rsid w:val="00A535A3"/>
    <w:rsid w:val="00A55B90"/>
    <w:rsid w:val="00A63EDD"/>
    <w:rsid w:val="00A70B7E"/>
    <w:rsid w:val="00A71755"/>
    <w:rsid w:val="00A81D34"/>
    <w:rsid w:val="00AB34DF"/>
    <w:rsid w:val="00AB3EFD"/>
    <w:rsid w:val="00AB6E17"/>
    <w:rsid w:val="00AC2716"/>
    <w:rsid w:val="00AD4CD2"/>
    <w:rsid w:val="00AD64B0"/>
    <w:rsid w:val="00AD7C7B"/>
    <w:rsid w:val="00AE0975"/>
    <w:rsid w:val="00AF3657"/>
    <w:rsid w:val="00B038D0"/>
    <w:rsid w:val="00B07B41"/>
    <w:rsid w:val="00B11237"/>
    <w:rsid w:val="00B11B27"/>
    <w:rsid w:val="00B121D2"/>
    <w:rsid w:val="00B13DB9"/>
    <w:rsid w:val="00B14767"/>
    <w:rsid w:val="00B227A2"/>
    <w:rsid w:val="00B3234A"/>
    <w:rsid w:val="00B36153"/>
    <w:rsid w:val="00B40C59"/>
    <w:rsid w:val="00B52299"/>
    <w:rsid w:val="00B57852"/>
    <w:rsid w:val="00B66598"/>
    <w:rsid w:val="00B94DEB"/>
    <w:rsid w:val="00B96D06"/>
    <w:rsid w:val="00B96FE3"/>
    <w:rsid w:val="00BA34AE"/>
    <w:rsid w:val="00BA4737"/>
    <w:rsid w:val="00BC1441"/>
    <w:rsid w:val="00BD7154"/>
    <w:rsid w:val="00BE5353"/>
    <w:rsid w:val="00BE6AAC"/>
    <w:rsid w:val="00BF2BAD"/>
    <w:rsid w:val="00BF4522"/>
    <w:rsid w:val="00BF7ADB"/>
    <w:rsid w:val="00C00BD3"/>
    <w:rsid w:val="00C225A1"/>
    <w:rsid w:val="00C33627"/>
    <w:rsid w:val="00C41D13"/>
    <w:rsid w:val="00C5024F"/>
    <w:rsid w:val="00C76EA5"/>
    <w:rsid w:val="00C92A95"/>
    <w:rsid w:val="00CC078B"/>
    <w:rsid w:val="00CC33FD"/>
    <w:rsid w:val="00CE19ED"/>
    <w:rsid w:val="00CE3556"/>
    <w:rsid w:val="00CF3260"/>
    <w:rsid w:val="00CF5DD5"/>
    <w:rsid w:val="00D065B2"/>
    <w:rsid w:val="00D132AD"/>
    <w:rsid w:val="00D16E36"/>
    <w:rsid w:val="00D16EEF"/>
    <w:rsid w:val="00D17714"/>
    <w:rsid w:val="00D2723A"/>
    <w:rsid w:val="00D30D58"/>
    <w:rsid w:val="00D31D02"/>
    <w:rsid w:val="00D33F82"/>
    <w:rsid w:val="00D36C57"/>
    <w:rsid w:val="00D6751A"/>
    <w:rsid w:val="00D77697"/>
    <w:rsid w:val="00D83B30"/>
    <w:rsid w:val="00D85147"/>
    <w:rsid w:val="00D94593"/>
    <w:rsid w:val="00DB54EE"/>
    <w:rsid w:val="00DC2707"/>
    <w:rsid w:val="00DD461B"/>
    <w:rsid w:val="00DD6BFB"/>
    <w:rsid w:val="00DE766F"/>
    <w:rsid w:val="00DE7D16"/>
    <w:rsid w:val="00DF5091"/>
    <w:rsid w:val="00E15B76"/>
    <w:rsid w:val="00E16CFB"/>
    <w:rsid w:val="00E230B0"/>
    <w:rsid w:val="00E34491"/>
    <w:rsid w:val="00E37699"/>
    <w:rsid w:val="00E4232E"/>
    <w:rsid w:val="00E44E1C"/>
    <w:rsid w:val="00E526F6"/>
    <w:rsid w:val="00E559B6"/>
    <w:rsid w:val="00E559D3"/>
    <w:rsid w:val="00E71426"/>
    <w:rsid w:val="00E72286"/>
    <w:rsid w:val="00E77EFE"/>
    <w:rsid w:val="00E80E1A"/>
    <w:rsid w:val="00E971BE"/>
    <w:rsid w:val="00EA5C79"/>
    <w:rsid w:val="00EB17DA"/>
    <w:rsid w:val="00EC5744"/>
    <w:rsid w:val="00EC6432"/>
    <w:rsid w:val="00ED20A7"/>
    <w:rsid w:val="00ED397B"/>
    <w:rsid w:val="00EE28F4"/>
    <w:rsid w:val="00EE32F0"/>
    <w:rsid w:val="00EE4010"/>
    <w:rsid w:val="00EF1BDE"/>
    <w:rsid w:val="00F06671"/>
    <w:rsid w:val="00F131E8"/>
    <w:rsid w:val="00F20AD8"/>
    <w:rsid w:val="00F2297E"/>
    <w:rsid w:val="00F363BF"/>
    <w:rsid w:val="00F40E18"/>
    <w:rsid w:val="00F44EA4"/>
    <w:rsid w:val="00F52D10"/>
    <w:rsid w:val="00F65FA8"/>
    <w:rsid w:val="00F66ED2"/>
    <w:rsid w:val="00F70FED"/>
    <w:rsid w:val="00F73ED1"/>
    <w:rsid w:val="00F76BBE"/>
    <w:rsid w:val="00F8032F"/>
    <w:rsid w:val="00F8517E"/>
    <w:rsid w:val="00F935AB"/>
    <w:rsid w:val="00FA3B0E"/>
    <w:rsid w:val="00FC0C46"/>
    <w:rsid w:val="00FC1B5E"/>
    <w:rsid w:val="00FD1A9C"/>
    <w:rsid w:val="00FD2351"/>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7</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418</cp:revision>
  <dcterms:created xsi:type="dcterms:W3CDTF">2022-11-29T03:26:00Z</dcterms:created>
  <dcterms:modified xsi:type="dcterms:W3CDTF">2022-12-23T16:00:00Z</dcterms:modified>
</cp:coreProperties>
</file>