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06AC" w14:textId="77777777" w:rsidR="005C6F7E" w:rsidRDefault="005C6F7E" w:rsidP="005C6F7E">
      <w:pPr>
        <w:jc w:val="center"/>
        <w:rPr>
          <w:rFonts w:ascii="Times New Roman" w:hAnsi="Times New Roman" w:cs="Times New Roman"/>
        </w:rPr>
      </w:pPr>
      <w:r w:rsidRPr="00DD3C17">
        <w:rPr>
          <w:rFonts w:ascii="Times New Roman" w:hAnsi="Times New Roman" w:cs="Times New Roman"/>
        </w:rPr>
        <w:t>Causal Inference for Peacekeeping Research: A Synthetic Control Approach</w:t>
      </w:r>
    </w:p>
    <w:p w14:paraId="6BE39B85" w14:textId="7777777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Overwhelmingly, two decades of research have suggested a general conflict-reducing effect of third-party peacekeeping operations (PKOs)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and Howard 2008, </w:t>
      </w:r>
      <w:proofErr w:type="spellStart"/>
      <w:r w:rsidRPr="00DD3C17">
        <w:rPr>
          <w:rFonts w:ascii="Times New Roman" w:hAnsi="Times New Roman" w:cs="Times New Roman"/>
        </w:rPr>
        <w:t>Dorussen</w:t>
      </w:r>
      <w:proofErr w:type="spellEnd"/>
      <w:r w:rsidRPr="00DD3C17">
        <w:rPr>
          <w:rFonts w:ascii="Times New Roman" w:hAnsi="Times New Roman" w:cs="Times New Roman"/>
        </w:rPr>
        <w:t xml:space="preserve"> 2014, Walter et al. 2021). Indeed, this relationship has been established across a wide variety of operationalizations of peace, such as the rule of law (Blair 2019), economic recovery (Bove et al. 2021), inter-ethnic trust (Mironova and Whitt 2015), battle deaths (</w:t>
      </w:r>
      <w:proofErr w:type="spellStart"/>
      <w:r w:rsidRPr="00DD3C17">
        <w:rPr>
          <w:rFonts w:ascii="Times New Roman" w:hAnsi="Times New Roman" w:cs="Times New Roman"/>
        </w:rPr>
        <w:t>Vivalt</w:t>
      </w:r>
      <w:proofErr w:type="spellEnd"/>
      <w:r w:rsidRPr="00DD3C17">
        <w:rPr>
          <w:rFonts w:ascii="Times New Roman" w:hAnsi="Times New Roman" w:cs="Times New Roman"/>
        </w:rPr>
        <w:t xml:space="preserve"> 2015), the risk of conflict onset (</w:t>
      </w:r>
      <w:proofErr w:type="spellStart"/>
      <w:r w:rsidRPr="00DD3C17">
        <w:rPr>
          <w:rFonts w:ascii="Times New Roman" w:hAnsi="Times New Roman" w:cs="Times New Roman"/>
        </w:rPr>
        <w:t>Hegre</w:t>
      </w:r>
      <w:proofErr w:type="spellEnd"/>
      <w:r w:rsidRPr="00DD3C17">
        <w:rPr>
          <w:rFonts w:ascii="Times New Roman" w:hAnsi="Times New Roman" w:cs="Times New Roman"/>
        </w:rPr>
        <w:t xml:space="preserve"> et al. 2018), the risk of conflict recurrence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2019). Theoretical works such as </w:t>
      </w:r>
      <w:proofErr w:type="spellStart"/>
      <w:r w:rsidRPr="00DD3C17">
        <w:rPr>
          <w:rFonts w:ascii="Times New Roman" w:hAnsi="Times New Roman" w:cs="Times New Roman"/>
        </w:rPr>
        <w:t>Kuperman</w:t>
      </w:r>
      <w:proofErr w:type="spellEnd"/>
      <w:r w:rsidRPr="00DD3C17">
        <w:rPr>
          <w:rFonts w:ascii="Times New Roman" w:hAnsi="Times New Roman" w:cs="Times New Roman"/>
        </w:rPr>
        <w:t xml:space="preserve"> (2008) and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have considered the possibility of unintentional conflict-enhancing side effects produced by humanitarian intervention. According to </w:t>
      </w:r>
      <w:proofErr w:type="spellStart"/>
      <w:r w:rsidRPr="00DD3C17">
        <w:rPr>
          <w:rFonts w:ascii="Times New Roman" w:hAnsi="Times New Roman" w:cs="Times New Roman"/>
        </w:rPr>
        <w:lastRenderedPageBreak/>
        <w:t>Kuperman</w:t>
      </w:r>
      <w:proofErr w:type="spellEnd"/>
      <w:r w:rsidRPr="00DD3C17">
        <w:rPr>
          <w:rFonts w:ascii="Times New Roman" w:hAnsi="Times New Roman" w:cs="Times New Roman"/>
        </w:rPr>
        <w:t xml:space="preserve">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w:t>
      </w:r>
      <w:proofErr w:type="spellStart"/>
      <w:r w:rsidRPr="00DD3C17">
        <w:rPr>
          <w:rFonts w:ascii="Times New Roman" w:hAnsi="Times New Roman" w:cs="Times New Roman"/>
        </w:rPr>
        <w:t>Ansorg</w:t>
      </w:r>
      <w:proofErr w:type="spellEnd"/>
      <w:r w:rsidRPr="00DD3C17">
        <w:rPr>
          <w:rFonts w:ascii="Times New Roman" w:hAnsi="Times New Roman" w:cs="Times New Roman"/>
        </w:rPr>
        <w:t xml:space="preserve">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(2014) showed that an increase in armed U.N. peacekeeping personnel correlated with a reduction in battlefield deaths and a later study found a similar pacifying effect for the risk of conflict recurrence (</w:t>
      </w:r>
      <w:proofErr w:type="spellStart"/>
      <w:r w:rsidRPr="00DD3C17">
        <w:rPr>
          <w:rFonts w:ascii="Times New Roman" w:hAnsi="Times New Roman" w:cs="Times New Roman"/>
        </w:rPr>
        <w:t>Hutlman</w:t>
      </w:r>
      <w:proofErr w:type="spellEnd"/>
      <w:r w:rsidRPr="00DD3C17">
        <w:rPr>
          <w:rFonts w:ascii="Times New Roman" w:hAnsi="Times New Roman" w:cs="Times New Roman"/>
        </w:rPr>
        <w:t xml:space="preserve"> et al. 2016).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(2016) find similar support for the pacifying effect of the militarization of U.N. personnel in PKOs during the post-conflict period. In contrast,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While the study of U.N. PKO composition is perhaps the most popular in the literature seeking to understand the conditional effects of PKOs on peace, other studies have examined how temporal dynamics impact the pacifying effect of PKOs.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w:t>
      </w:r>
      <w:proofErr w:type="spellStart"/>
      <w:r w:rsidRPr="00DD3C17">
        <w:rPr>
          <w:rFonts w:ascii="Times New Roman" w:hAnsi="Times New Roman" w:cs="Times New Roman"/>
        </w:rPr>
        <w:t>Sergenti</w:t>
      </w:r>
      <w:proofErr w:type="spellEnd"/>
      <w:r w:rsidRPr="00DD3C17">
        <w:rPr>
          <w:rFonts w:ascii="Times New Roman" w:hAnsi="Times New Roman" w:cs="Times New Roman"/>
        </w:rPr>
        <w:t xml:space="preserve"> (2007) found that PKOs appear to only be effective in the post-conflict period. </w:t>
      </w:r>
      <w:proofErr w:type="spellStart"/>
      <w:r w:rsidRPr="00DD3C17">
        <w:rPr>
          <w:rFonts w:ascii="Times New Roman" w:hAnsi="Times New Roman" w:cs="Times New Roman"/>
        </w:rPr>
        <w:t>Sambanis</w:t>
      </w:r>
      <w:proofErr w:type="spellEnd"/>
      <w:r w:rsidRPr="00DD3C17">
        <w:rPr>
          <w:rFonts w:ascii="Times New Roman" w:hAnsi="Times New Roman" w:cs="Times New Roman"/>
        </w:rPr>
        <w:t xml:space="preserve">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w:t>
      </w:r>
      <w:proofErr w:type="spellStart"/>
      <w:r w:rsidRPr="00DD3C17">
        <w:rPr>
          <w:rFonts w:ascii="Times New Roman" w:hAnsi="Times New Roman" w:cs="Times New Roman"/>
        </w:rPr>
        <w:t>Fjelde</w:t>
      </w:r>
      <w:proofErr w:type="spellEnd"/>
      <w:r w:rsidRPr="00DD3C17">
        <w:rPr>
          <w:rFonts w:ascii="Times New Roman" w:hAnsi="Times New Roman" w:cs="Times New Roman"/>
        </w:rPr>
        <w:t xml:space="preserve"> et al. (2018) outlined how PKOs appear to be more effective at reducing civilian victimization when violence against civilians is committed by rebels. In contrast, PKOs seem to be less effective at reducing government-led civilian victimization.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and </w:t>
      </w:r>
      <w:proofErr w:type="spellStart"/>
      <w:r w:rsidRPr="00DD3C17">
        <w:rPr>
          <w:rFonts w:ascii="Times New Roman" w:hAnsi="Times New Roman" w:cs="Times New Roman"/>
        </w:rPr>
        <w:t>Prins</w:t>
      </w:r>
      <w:proofErr w:type="spellEnd"/>
      <w:r w:rsidRPr="00DD3C17">
        <w:rPr>
          <w:rFonts w:ascii="Times New Roman" w:hAnsi="Times New Roman" w:cs="Times New Roman"/>
        </w:rPr>
        <w:t xml:space="preserve">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In reality, the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77777777" w:rsidR="005C6F7E" w:rsidRDefault="005C6F7E" w:rsidP="005C6F7E">
      <w:pPr>
        <w:rPr>
          <w:rFonts w:ascii="Times New Roman" w:hAnsi="Times New Roman" w:cs="Times New Roman"/>
          <w:b/>
          <w:bCs/>
        </w:rPr>
      </w:pPr>
      <w:r>
        <w:rPr>
          <w:rFonts w:ascii="Times New Roman" w:hAnsi="Times New Roman" w:cs="Times New Roman"/>
          <w:b/>
          <w:bCs/>
        </w:rPr>
        <w:t>The State of Causal Research in the PKO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w:t>
      </w:r>
      <w:proofErr w:type="spellStart"/>
      <w:r w:rsidRPr="002B7DA4">
        <w:rPr>
          <w:rFonts w:ascii="Times New Roman" w:hAnsi="Times New Roman" w:cs="Times New Roman"/>
        </w:rPr>
        <w:t>Fortna</w:t>
      </w:r>
      <w:proofErr w:type="spellEnd"/>
      <w:r w:rsidRPr="002B7DA4">
        <w:rPr>
          <w:rFonts w:ascii="Times New Roman" w:hAnsi="Times New Roman" w:cs="Times New Roman"/>
        </w:rPr>
        <w:t xml:space="preserve"> 2004, p. 283), "sustain the peace" (Quinn et al. 2007, p. 183), and "reduces violence against noncombatants"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p. 10) when referring to the alleged effects of PKOs on peace and violence. At first glance, this may seem to be simply a semantic quibble. However, we should be cautious of using causal language when using correlative methods. Kocher's (2014) critique of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demonstrates the need for such caution. While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w:t>
      </w:r>
      <w:proofErr w:type="spellStart"/>
      <w:r w:rsidRPr="002B7DA4">
        <w:rPr>
          <w:rFonts w:ascii="Times New Roman" w:hAnsi="Times New Roman" w:cs="Times New Roman"/>
        </w:rPr>
        <w:t>Samii</w:t>
      </w:r>
      <w:proofErr w:type="spellEnd"/>
      <w:r w:rsidRPr="002B7DA4">
        <w:rPr>
          <w:rFonts w:ascii="Times New Roman" w:hAnsi="Times New Roman" w:cs="Times New Roman"/>
        </w:rPr>
        <w:t xml:space="preserve"> 2016, </w:t>
      </w:r>
      <w:proofErr w:type="spellStart"/>
      <w:r w:rsidRPr="002B7DA4">
        <w:rPr>
          <w:rFonts w:ascii="Times New Roman" w:hAnsi="Times New Roman" w:cs="Times New Roman"/>
        </w:rPr>
        <w:t>Keele</w:t>
      </w:r>
      <w:proofErr w:type="spellEnd"/>
      <w:r w:rsidRPr="002B7DA4">
        <w:rPr>
          <w:rFonts w:ascii="Times New Roman" w:hAnsi="Times New Roman" w:cs="Times New Roman"/>
        </w:rPr>
        <w:t xml:space="preserv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occur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039D7FCA"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In the absence of experimental data, many scholars in the field have adopted an instrumental variables approach to making causal inferences concerning the effect of PKOs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Vivalt</w:t>
      </w:r>
      <w:proofErr w:type="spellEnd"/>
      <w:r w:rsidRPr="002B7DA4">
        <w:rPr>
          <w:rFonts w:ascii="Times New Roman" w:hAnsi="Times New Roman" w:cs="Times New Roman"/>
        </w:rPr>
        <w:t xml:space="preserve">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9C5AE2">
        <w:rPr>
          <w:rFonts w:ascii="Times New Roman" w:hAnsi="Times New Roman" w:cs="Times New Roman"/>
        </w:rPr>
        <w:t xml:space="preserve">. </w:t>
      </w:r>
    </w:p>
    <w:p w14:paraId="57B9C13D" w14:textId="4A7E23FF"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Kathman</w:t>
      </w:r>
      <w:proofErr w:type="spellEnd"/>
      <w:r w:rsidRPr="002B7DA4">
        <w:rPr>
          <w:rFonts w:ascii="Times New Roman" w:hAnsi="Times New Roman" w:cs="Times New Roman"/>
        </w:rPr>
        <w:t xml:space="preserve"> and Wood 2011,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Ruggeri et al. 2017, Di Salvatore 2018, </w:t>
      </w:r>
      <w:proofErr w:type="spellStart"/>
      <w:r w:rsidRPr="002B7DA4">
        <w:rPr>
          <w:rFonts w:ascii="Times New Roman" w:hAnsi="Times New Roman" w:cs="Times New Roman"/>
        </w:rPr>
        <w:t>Fjelde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Bara 2020), albeit, not always as a method to improve causal interpretation.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0C37203F" w14:textId="5F035FC7"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Kocher 2014, Bove and Ruggeri 2016, 2018, Di Salvatore 2018, </w:t>
      </w:r>
      <w:proofErr w:type="spellStart"/>
      <w:r w:rsidRPr="002B7DA4">
        <w:rPr>
          <w:rFonts w:ascii="Times New Roman" w:hAnsi="Times New Roman" w:cs="Times New Roman"/>
        </w:rPr>
        <w:t>Fjedle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Blair 2019, Di Salvatore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and </w:t>
      </w:r>
      <w:proofErr w:type="spellStart"/>
      <w:r w:rsidRPr="002B7DA4">
        <w:rPr>
          <w:rFonts w:ascii="Times New Roman" w:hAnsi="Times New Roman" w:cs="Times New Roman"/>
        </w:rPr>
        <w:t>Prins</w:t>
      </w:r>
      <w:proofErr w:type="spellEnd"/>
      <w:r w:rsidRPr="002B7DA4">
        <w:rPr>
          <w:rFonts w:ascii="Times New Roman" w:hAnsi="Times New Roman" w:cs="Times New Roman"/>
        </w:rPr>
        <w:t xml:space="preserve">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PKOs would be unable to determine the effect of PKOs independent of the other unit-specific fixed </w:t>
      </w:r>
      <w:r w:rsidRPr="002B7DA4">
        <w:rPr>
          <w:rFonts w:ascii="Times New Roman" w:hAnsi="Times New Roman" w:cs="Times New Roman"/>
        </w:rPr>
        <w:lastRenderedPageBreak/>
        <w:t xml:space="preserve">factors. This problem, in particular, can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 While time-specific factors can be accounted for with a two-way fixed effects model that controls for each individual time-unit, errors can still occur in obtaining causal estimates from this approach (Imai and Kim 2021).</w:t>
      </w:r>
    </w:p>
    <w:p w14:paraId="1F7E301C" w14:textId="6A028204" w:rsidR="00F8032F" w:rsidRPr="00F8032F" w:rsidRDefault="00F8032F" w:rsidP="00F8032F">
      <w:pPr>
        <w:rPr>
          <w:rFonts w:ascii="Times New Roman" w:hAnsi="Times New Roman" w:cs="Times New Roman"/>
          <w:b/>
          <w:bCs/>
        </w:rPr>
      </w:pPr>
      <w:r w:rsidRPr="0044488D">
        <w:rPr>
          <w:rFonts w:ascii="Times New Roman" w:hAnsi="Times New Roman" w:cs="Times New Roman"/>
          <w:b/>
          <w:bCs/>
          <w:highlight w:val="yellow"/>
        </w:rPr>
        <w:t>Insert commentary on the synthetic control method here</w:t>
      </w:r>
    </w:p>
    <w:p w14:paraId="39DCD79F" w14:textId="276CF013" w:rsidR="005C6F7E" w:rsidRDefault="005C6F7E" w:rsidP="005C6F7E">
      <w:pPr>
        <w:ind w:firstLine="720"/>
        <w:rPr>
          <w:rFonts w:ascii="Times New Roman" w:hAnsi="Times New Roman" w:cs="Times New Roman"/>
        </w:rPr>
      </w:pPr>
      <w:r w:rsidRPr="002B7DA4">
        <w:rPr>
          <w:rFonts w:ascii="Times New Roman" w:hAnsi="Times New Roman" w:cs="Times New Roman"/>
        </w:rPr>
        <w:t>A final, although less utilized, method for making causal inferences from observational peacekeeping data is the difference-in-differences (DiD) approach. To my knowledge, only one contribution to the literature has been made using this approach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2019). Simply put, DiD estimates a causal effect by obtaining the difference in outcome for a treated and control group by factoring in differences between- and within-units pre- and post-treatment. In this way, DiD allows researchers to demonstrate the counter-factual outcome for treated units </w:t>
      </w:r>
      <w:r w:rsidRPr="00E96CB7">
        <w:rPr>
          <w:rFonts w:ascii="Times New Roman" w:hAnsi="Times New Roman" w:cs="Times New Roman"/>
          <w:i/>
          <w:iCs/>
        </w:rPr>
        <w:t>had treatment never occurred</w:t>
      </w:r>
      <w:r w:rsidRPr="002B7DA4">
        <w:rPr>
          <w:rFonts w:ascii="Times New Roman" w:hAnsi="Times New Roman" w:cs="Times New Roman"/>
        </w:rPr>
        <w:t xml:space="preserve">. To make accurate causal inferences using this approach, two assumptions should be met. First, the timing of treatment should be constant across all units that receive treatment. Within the context of PKOs, this will be violated for any study examining the causal effect of PKOs </w:t>
      </w:r>
      <w:r w:rsidR="00E44E1C">
        <w:rPr>
          <w:rFonts w:ascii="Times New Roman" w:hAnsi="Times New Roman" w:cs="Times New Roman"/>
        </w:rPr>
        <w:t xml:space="preserve">at the national-level (where most of the PKO research is concentrated) </w:t>
      </w:r>
      <w:r w:rsidRPr="002B7DA4">
        <w:rPr>
          <w:rFonts w:ascii="Times New Roman" w:hAnsi="Times New Roman" w:cs="Times New Roman"/>
        </w:rPr>
        <w:t xml:space="preserve">as the initiation of PKOs globally varies across time. Second, DiD relies on the parallel trends assumption, which assumes that the trend in the outcome of interest (violence against civilians in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2019, for example) is largely the same for both treated and untreated units pre-treatment. In many contexts within the peacekeeping literature, this could easily be violated as sub-national units may vary wildly with respect to trends in outcomes. Within the context of violence against civilians, certain regions within a country may experience a trend dramatically different than others due to the concentration of the fighting</w:t>
      </w:r>
      <w:r w:rsidR="00575260">
        <w:rPr>
          <w:rFonts w:ascii="Times New Roman" w:hAnsi="Times New Roman" w:cs="Times New Roman"/>
        </w:rPr>
        <w:t xml:space="preserve"> or the location of ethnic groups</w:t>
      </w:r>
      <w:r w:rsidRPr="002B7DA4">
        <w:rPr>
          <w:rFonts w:ascii="Times New Roman" w:hAnsi="Times New Roman" w:cs="Times New Roman"/>
        </w:rPr>
        <w:t>, for example.</w:t>
      </w:r>
    </w:p>
    <w:p w14:paraId="371BD195" w14:textId="52EBF17E" w:rsidR="00B40C59" w:rsidRPr="006B2816" w:rsidRDefault="00B40C59" w:rsidP="00B40C59">
      <w:pPr>
        <w:rPr>
          <w:rFonts w:ascii="Times New Roman" w:hAnsi="Times New Roman" w:cs="Times New Roman"/>
          <w:highlight w:val="yellow"/>
        </w:rPr>
      </w:pPr>
      <w:r w:rsidRPr="006B2816">
        <w:rPr>
          <w:rFonts w:ascii="Times New Roman" w:hAnsi="Times New Roman" w:cs="Times New Roman"/>
          <w:b/>
          <w:bCs/>
          <w:highlight w:val="yellow"/>
        </w:rPr>
        <w:t>Justify my project using DiD</w:t>
      </w:r>
    </w:p>
    <w:p w14:paraId="409C4B29" w14:textId="1B03077E" w:rsidR="00B40C59" w:rsidRDefault="00B40C59"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Need to assess causal impacts more in PKO literature</w:t>
      </w:r>
    </w:p>
    <w:p w14:paraId="5E43209F" w14:textId="309E2FDA" w:rsidR="00792790" w:rsidRPr="006B2816" w:rsidRDefault="00792790" w:rsidP="00B40C5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This paper uses an alternative operationalization of pacifying effects of PKOs</w:t>
      </w:r>
    </w:p>
    <w:p w14:paraId="40210385" w14:textId="77CB6B1C" w:rsidR="00336EA9" w:rsidRPr="006B2816" w:rsidRDefault="00B40C59" w:rsidP="00A4509E">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Need explicit documentation on the parallel trends assumption</w:t>
      </w:r>
    </w:p>
    <w:p w14:paraId="597A3783" w14:textId="32CC92F2" w:rsidR="00751C1A" w:rsidRDefault="00751C1A"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To my knowledge, this paper will be the first to execute sensitivity analysis</w:t>
      </w:r>
    </w:p>
    <w:p w14:paraId="6D2E0C07" w14:textId="77B3E391" w:rsidR="000B5540" w:rsidRDefault="000B5540" w:rsidP="00B40C5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In addition, this paper will be the first to use DAGs</w:t>
      </w:r>
      <w:r w:rsidR="00876438">
        <w:rPr>
          <w:rFonts w:ascii="Times New Roman" w:hAnsi="Times New Roman" w:cs="Times New Roman"/>
          <w:highlight w:val="yellow"/>
        </w:rPr>
        <w:t>?</w:t>
      </w:r>
    </w:p>
    <w:p w14:paraId="4B2E27B0" w14:textId="692DEF34" w:rsidR="00021549" w:rsidRPr="006B2816" w:rsidRDefault="00021549" w:rsidP="00B40C5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This paper will also use more commonplace DiD robustness checks</w:t>
      </w:r>
    </w:p>
    <w:p w14:paraId="6848B438" w14:textId="66B4796B"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One particularly well-suited method for the study of the pacifying effects of PKOs is the synthetic control method (SCM). Much like difference-in-differences, the SCM attempts to answer the counter-factual question of "what would the outcome for a unit look like if a unit was never exposed to treatment?" Unlike DiD, the SCM is not burdened by the parallel trends assumption. While it does carry its own set of assumptions, I argue that the method is </w:t>
      </w:r>
      <w:r w:rsidR="00743C0C" w:rsidRPr="002B7DA4">
        <w:rPr>
          <w:rFonts w:ascii="Times New Roman" w:hAnsi="Times New Roman" w:cs="Times New Roman"/>
        </w:rPr>
        <w:t>applicable</w:t>
      </w:r>
      <w:r w:rsidRPr="002B7DA4">
        <w:rPr>
          <w:rFonts w:ascii="Times New Roman" w:hAnsi="Times New Roman" w:cs="Times New Roman"/>
        </w:rPr>
        <w:t xml:space="preserve"> to the peacekeeping literature. Further, its intuitive logic is particularly appealing for communicating causal effects. Below, I outline the synthetic control method, discussing its virtues, its requirements, and its functionality for making causal inferences.</w:t>
      </w:r>
    </w:p>
    <w:p w14:paraId="4836B0CB" w14:textId="46C04675" w:rsidR="005C6F7E" w:rsidRDefault="005C6F7E" w:rsidP="005C6F7E">
      <w:pPr>
        <w:rPr>
          <w:rFonts w:ascii="Times New Roman" w:hAnsi="Times New Roman" w:cs="Times New Roman"/>
        </w:rPr>
      </w:pPr>
      <w:r w:rsidRPr="0044488D">
        <w:rPr>
          <w:rFonts w:ascii="Times New Roman" w:hAnsi="Times New Roman" w:cs="Times New Roman"/>
          <w:b/>
          <w:bCs/>
          <w:highlight w:val="yellow"/>
        </w:rPr>
        <w:t>The Synthetic Control Method</w:t>
      </w:r>
      <w:r w:rsidR="0044488D" w:rsidRPr="0044488D">
        <w:rPr>
          <w:rFonts w:ascii="Times New Roman" w:hAnsi="Times New Roman" w:cs="Times New Roman"/>
          <w:b/>
          <w:bCs/>
          <w:highlight w:val="yellow"/>
        </w:rPr>
        <w:t xml:space="preserve"> (this will need to be deleted)</w:t>
      </w:r>
    </w:p>
    <w:p w14:paraId="75293D86" w14:textId="77777777"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lastRenderedPageBreak/>
        <w:t xml:space="preserve">The synthetic control method is a powerful policy evaluation tool that has been employed in a variety of applications to assess causal impacts of right-to-carry laws (Donohue et al. 2019), vaccination lotteries (Lang et al. 2022), Basque terrorism (Abadie and </w:t>
      </w:r>
      <w:proofErr w:type="spellStart"/>
      <w:r w:rsidRPr="002B7DA4">
        <w:rPr>
          <w:rFonts w:ascii="Times New Roman" w:hAnsi="Times New Roman" w:cs="Times New Roman"/>
        </w:rPr>
        <w:t>Gardeazabal</w:t>
      </w:r>
      <w:proofErr w:type="spellEnd"/>
      <w:r w:rsidRPr="002B7DA4">
        <w:rPr>
          <w:rFonts w:ascii="Times New Roman" w:hAnsi="Times New Roman" w:cs="Times New Roman"/>
        </w:rPr>
        <w:t xml:space="preserve"> 2003), German re-unification (Abadie et al. 2015), economic liberalization (</w:t>
      </w:r>
      <w:proofErr w:type="spellStart"/>
      <w:r w:rsidRPr="002B7DA4">
        <w:rPr>
          <w:rFonts w:ascii="Times New Roman" w:hAnsi="Times New Roman" w:cs="Times New Roman"/>
        </w:rPr>
        <w:t>Billmeier</w:t>
      </w:r>
      <w:proofErr w:type="spellEnd"/>
      <w:r w:rsidRPr="002B7DA4">
        <w:rPr>
          <w:rFonts w:ascii="Times New Roman" w:hAnsi="Times New Roman" w:cs="Times New Roman"/>
        </w:rPr>
        <w:t xml:space="preserve"> and </w:t>
      </w:r>
      <w:proofErr w:type="spellStart"/>
      <w:r w:rsidRPr="002B7DA4">
        <w:rPr>
          <w:rFonts w:ascii="Times New Roman" w:hAnsi="Times New Roman" w:cs="Times New Roman"/>
        </w:rPr>
        <w:t>Nannicini</w:t>
      </w:r>
      <w:proofErr w:type="spellEnd"/>
      <w:r w:rsidRPr="002B7DA4">
        <w:rPr>
          <w:rFonts w:ascii="Times New Roman" w:hAnsi="Times New Roman" w:cs="Times New Roman"/>
        </w:rPr>
        <w:t xml:space="preserve"> 2013), the rule of Hugo Chavez (Grier and Maynard 2016), and anti-tobacco legislation (Abadie et al. 2010). A useful way to view the SCM is as a robust tool to assist in making causal inferences from case studies (Abadie et al. 2015). Conventional case study approaches face serious problems with causal inference due to the myriad of issues that arise when a researcher selects a comparison unit to examine the difference between the treated and non-treated unit. Researchers can do their best and apply their substantive knowledge on units to select cases that are highly similar to each other in an effort to isolate the causal impact of the treatment. However, no two units are alike, especially in the comparative politics and international relations literatures where the level of aggregation concerns complex units such as countries. As a result, any difference in outcome between treated and non-treated units could be caused by the difference in known characteristics in which the units were compared on and/or the difference between the units with respect to unspecified confounding factors.</w:t>
      </w:r>
    </w:p>
    <w:p w14:paraId="4A2A3F75" w14:textId="5A5A1D37" w:rsidR="005C6F7E" w:rsidRPr="002B7DA4" w:rsidRDefault="005C6F7E" w:rsidP="00AD7C7B">
      <w:pPr>
        <w:ind w:firstLine="720"/>
        <w:rPr>
          <w:rFonts w:ascii="Times New Roman" w:hAnsi="Times New Roman" w:cs="Times New Roman"/>
        </w:rPr>
      </w:pPr>
      <w:r w:rsidRPr="002B7DA4">
        <w:rPr>
          <w:rFonts w:ascii="Times New Roman" w:hAnsi="Times New Roman" w:cs="Times New Roman"/>
        </w:rPr>
        <w:t xml:space="preserve">The synthetic control method addresses these issues by comparing the </w:t>
      </w:r>
      <w:r w:rsidR="00743C0C" w:rsidRPr="002B7DA4">
        <w:rPr>
          <w:rFonts w:ascii="Times New Roman" w:hAnsi="Times New Roman" w:cs="Times New Roman"/>
        </w:rPr>
        <w:t>treated</w:t>
      </w:r>
      <w:r w:rsidRPr="002B7DA4">
        <w:rPr>
          <w:rFonts w:ascii="Times New Roman" w:hAnsi="Times New Roman" w:cs="Times New Roman"/>
        </w:rPr>
        <w:t xml:space="preserve"> unit to a synthetic version of the </w:t>
      </w:r>
      <w:r w:rsidR="009B2E74">
        <w:rPr>
          <w:rFonts w:ascii="Times New Roman" w:hAnsi="Times New Roman" w:cs="Times New Roman"/>
        </w:rPr>
        <w:t xml:space="preserve">same </w:t>
      </w:r>
      <w:r w:rsidRPr="002B7DA4">
        <w:rPr>
          <w:rFonts w:ascii="Times New Roman" w:hAnsi="Times New Roman" w:cs="Times New Roman"/>
        </w:rPr>
        <w:t xml:space="preserve">unit that </w:t>
      </w:r>
      <w:r w:rsidRPr="00E96CB7">
        <w:rPr>
          <w:rFonts w:ascii="Times New Roman" w:hAnsi="Times New Roman" w:cs="Times New Roman"/>
          <w:i/>
          <w:iCs/>
        </w:rPr>
        <w:t>differs only in the exposure to the treatment</w:t>
      </w:r>
      <w:r w:rsidRPr="002B7DA4">
        <w:rPr>
          <w:rFonts w:ascii="Times New Roman" w:hAnsi="Times New Roman" w:cs="Times New Roman"/>
        </w:rPr>
        <w:t xml:space="preserve">. In this way, the SCM is an excellent tool for assessing the counter-factual question of what the outcome for the unit would have looked like in an alternative scenario where the </w:t>
      </w:r>
      <w:r w:rsidRPr="00D36C57">
        <w:rPr>
          <w:rFonts w:ascii="Times New Roman" w:hAnsi="Times New Roman" w:cs="Times New Roman"/>
          <w:i/>
          <w:iCs/>
        </w:rPr>
        <w:t>treatment not occurred</w:t>
      </w:r>
      <w:r w:rsidRPr="002B7DA4">
        <w:rPr>
          <w:rFonts w:ascii="Times New Roman" w:hAnsi="Times New Roman" w:cs="Times New Roman"/>
        </w:rPr>
        <w:t xml:space="preserve">. The causal effect of the treatment is the difference in the outcome between the treated and synthetic unit following exposure to the treatment. Confidence in the synthetic unit as a legitimate representation of the </w:t>
      </w:r>
      <w:r w:rsidR="00B11237">
        <w:rPr>
          <w:rFonts w:ascii="Times New Roman" w:hAnsi="Times New Roman" w:cs="Times New Roman"/>
        </w:rPr>
        <w:t xml:space="preserve">non-treated </w:t>
      </w:r>
      <w:r w:rsidRPr="002B7DA4">
        <w:rPr>
          <w:rFonts w:ascii="Times New Roman" w:hAnsi="Times New Roman" w:cs="Times New Roman"/>
        </w:rPr>
        <w:t xml:space="preserve">real unit is obtained by the synthetic unit's ability to mimic the variations in outcome of the </w:t>
      </w:r>
      <w:r w:rsidR="00B11237">
        <w:rPr>
          <w:rFonts w:ascii="Times New Roman" w:hAnsi="Times New Roman" w:cs="Times New Roman"/>
        </w:rPr>
        <w:t>treated</w:t>
      </w:r>
      <w:r w:rsidRPr="002B7DA4">
        <w:rPr>
          <w:rFonts w:ascii="Times New Roman" w:hAnsi="Times New Roman" w:cs="Times New Roman"/>
        </w:rPr>
        <w:t xml:space="preserve"> unit pre-treatment.</w:t>
      </w:r>
      <w:r w:rsidR="00AD7C7B">
        <w:rPr>
          <w:rFonts w:ascii="Times New Roman" w:hAnsi="Times New Roman" w:cs="Times New Roman"/>
        </w:rPr>
        <w:t xml:space="preserve"> </w:t>
      </w:r>
      <w:r w:rsidR="00A81D34">
        <w:rPr>
          <w:rFonts w:ascii="Times New Roman" w:hAnsi="Times New Roman" w:cs="Times New Roman"/>
        </w:rPr>
        <w:t xml:space="preserve">The synthetic unit is constructed by the </w:t>
      </w:r>
      <w:r w:rsidR="000E7678">
        <w:rPr>
          <w:rFonts w:ascii="Times New Roman" w:hAnsi="Times New Roman" w:cs="Times New Roman"/>
        </w:rPr>
        <w:t xml:space="preserve">generation of a </w:t>
      </w:r>
      <w:r w:rsidR="00A81D34">
        <w:rPr>
          <w:rFonts w:ascii="Times New Roman" w:hAnsi="Times New Roman" w:cs="Times New Roman"/>
        </w:rPr>
        <w:t xml:space="preserve">weighted average of </w:t>
      </w:r>
      <w:r w:rsidR="000E7678">
        <w:rPr>
          <w:rFonts w:ascii="Times New Roman" w:hAnsi="Times New Roman" w:cs="Times New Roman"/>
        </w:rPr>
        <w:t>the outcome variable using the values of similar units that are not treated. In this manner, the generation of the synthetic unit follows the logic of matching where the synthetic unit serves as a counter-factual that is similar to the treated unit but differs from</w:t>
      </w:r>
      <w:r w:rsidR="00AD7C7B">
        <w:rPr>
          <w:rFonts w:ascii="Times New Roman" w:hAnsi="Times New Roman" w:cs="Times New Roman"/>
        </w:rPr>
        <w:t xml:space="preserve"> the treated unit </w:t>
      </w:r>
      <w:r w:rsidR="00B11237">
        <w:rPr>
          <w:rFonts w:ascii="Times New Roman" w:hAnsi="Times New Roman" w:cs="Times New Roman"/>
        </w:rPr>
        <w:t>because it</w:t>
      </w:r>
      <w:r w:rsidR="00AD7C7B">
        <w:rPr>
          <w:rFonts w:ascii="Times New Roman" w:hAnsi="Times New Roman" w:cs="Times New Roman"/>
        </w:rPr>
        <w:t xml:space="preserve"> is constructed entirely </w:t>
      </w:r>
      <w:r w:rsidR="00B11237">
        <w:rPr>
          <w:rFonts w:ascii="Times New Roman" w:hAnsi="Times New Roman" w:cs="Times New Roman"/>
        </w:rPr>
        <w:t>from</w:t>
      </w:r>
      <w:r w:rsidR="00AD7C7B">
        <w:rPr>
          <w:rFonts w:ascii="Times New Roman" w:hAnsi="Times New Roman" w:cs="Times New Roman"/>
        </w:rPr>
        <w:t xml:space="preserve"> units that are never exposed to the treatment. </w:t>
      </w:r>
      <w:r w:rsidR="00D16E36">
        <w:rPr>
          <w:rFonts w:ascii="Times New Roman" w:hAnsi="Times New Roman" w:cs="Times New Roman"/>
        </w:rPr>
        <w:t xml:space="preserve">Because of this, the synthetic unit could be viewed as an improvement, in some respects, on matched units from a matching-based research design as the synthetic unit artificially creates a counter-factual unit rather than relying on a similar unit to serve as a counter-factual. </w:t>
      </w:r>
      <w:r w:rsidRPr="002B7DA4">
        <w:rPr>
          <w:rFonts w:ascii="Times New Roman" w:hAnsi="Times New Roman" w:cs="Times New Roman"/>
        </w:rPr>
        <w:t xml:space="preserve">Once the synthetic unit is constructed, weights for similar non-treated units can be reported to maximize transparency of what the synthetic unit is consisted of. Similarity is determined based on </w:t>
      </w:r>
      <w:r w:rsidR="00EA5C79">
        <w:rPr>
          <w:rFonts w:ascii="Times New Roman" w:hAnsi="Times New Roman" w:cs="Times New Roman"/>
        </w:rPr>
        <w:t>variables</w:t>
      </w:r>
      <w:r w:rsidRPr="002B7DA4">
        <w:rPr>
          <w:rFonts w:ascii="Times New Roman" w:hAnsi="Times New Roman" w:cs="Times New Roman"/>
        </w:rPr>
        <w:t xml:space="preserve"> designed to predict the outcome of the treated unit. For example, if one wished </w:t>
      </w:r>
      <w:r>
        <w:rPr>
          <w:rFonts w:ascii="Times New Roman" w:hAnsi="Times New Roman" w:cs="Times New Roman"/>
        </w:rPr>
        <w:t xml:space="preserve">to </w:t>
      </w:r>
      <w:r w:rsidRPr="002B7DA4">
        <w:rPr>
          <w:rFonts w:ascii="Times New Roman" w:hAnsi="Times New Roman" w:cs="Times New Roman"/>
        </w:rPr>
        <w:t>develop a synthetic New York to assess the causal impact of a particular education policy on graduation rates, predictors of graduation rates would be used to develop the synthetic New York. A good synthetic unit is one in which the average value of the synthetic unit's predictors is similar to the average value of these variables for the treated unit. Once plotted on a time-series graph, the values of the treated and synthetic unit should closely align pre-treatment.</w:t>
      </w:r>
    </w:p>
    <w:p w14:paraId="51D1360F" w14:textId="3B25892E"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A number of assumptions should be met to utilize the synthetic control method (Abadie 2021). Fortunately, the nature of the question and data availability render the study of the pacifying effects of peacekeeping easily applicable to this method. </w:t>
      </w:r>
      <w:r w:rsidRPr="00E96CB7">
        <w:rPr>
          <w:rFonts w:ascii="Times New Roman" w:hAnsi="Times New Roman" w:cs="Times New Roman"/>
          <w:i/>
          <w:iCs/>
        </w:rPr>
        <w:t>First</w:t>
      </w:r>
      <w:r w:rsidRPr="002B7DA4">
        <w:rPr>
          <w:rFonts w:ascii="Times New Roman" w:hAnsi="Times New Roman" w:cs="Times New Roman"/>
        </w:rPr>
        <w:t xml:space="preserve">, if the treatment is comparatively small in scope (and, as follows, will likely generate a small causal effect), the SCM may be unable to detect this small effect, </w:t>
      </w:r>
      <w:r w:rsidR="009844BF">
        <w:rPr>
          <w:rFonts w:ascii="Times New Roman" w:hAnsi="Times New Roman" w:cs="Times New Roman"/>
        </w:rPr>
        <w:t>as analyzing this potentially small effect may be absorbed by noise in the outcome given the large level of aggregation (country-year level for this project)</w:t>
      </w:r>
      <w:r w:rsidRPr="002B7DA4">
        <w:rPr>
          <w:rFonts w:ascii="Times New Roman" w:hAnsi="Times New Roman" w:cs="Times New Roman"/>
        </w:rPr>
        <w:t xml:space="preserve">. </w:t>
      </w:r>
      <w:r w:rsidRPr="00E96CB7">
        <w:rPr>
          <w:rFonts w:ascii="Times New Roman" w:hAnsi="Times New Roman" w:cs="Times New Roman"/>
          <w:i/>
          <w:iCs/>
        </w:rPr>
        <w:t>Second</w:t>
      </w:r>
      <w:r w:rsidRPr="002B7DA4">
        <w:rPr>
          <w:rFonts w:ascii="Times New Roman" w:hAnsi="Times New Roman" w:cs="Times New Roman"/>
        </w:rPr>
        <w:t xml:space="preserve">, for the construction of a synthetic unit, a large donor pool of similar units not exposed to the treatment is required. Given that many post-conflict countries never received a PKO during the prior conflict, this is not a concern for this project. </w:t>
      </w:r>
      <w:r w:rsidRPr="00E96CB7">
        <w:rPr>
          <w:rFonts w:ascii="Times New Roman" w:hAnsi="Times New Roman" w:cs="Times New Roman"/>
          <w:i/>
          <w:iCs/>
        </w:rPr>
        <w:t>Third</w:t>
      </w:r>
      <w:r w:rsidRPr="002B7DA4">
        <w:rPr>
          <w:rFonts w:ascii="Times New Roman" w:hAnsi="Times New Roman" w:cs="Times New Roman"/>
        </w:rPr>
        <w:t xml:space="preserve">, it is problematic if actors within a unit alter their behavior in anticipation of receiving treatment. While actors </w:t>
      </w:r>
      <w:r w:rsidRPr="002B7DA4">
        <w:rPr>
          <w:rFonts w:ascii="Times New Roman" w:hAnsi="Times New Roman" w:cs="Times New Roman"/>
        </w:rPr>
        <w:lastRenderedPageBreak/>
        <w:t xml:space="preserve">within a country have the capacity to anticipate the onset of a PKO, this anticipatory factor is unlikely to affect </w:t>
      </w:r>
      <w:r w:rsidRPr="00E96CB7">
        <w:rPr>
          <w:rFonts w:ascii="Times New Roman" w:hAnsi="Times New Roman" w:cs="Times New Roman"/>
          <w:i/>
          <w:iCs/>
        </w:rPr>
        <w:t>post-conflict</w:t>
      </w:r>
      <w:r w:rsidRPr="002B7DA4">
        <w:rPr>
          <w:rFonts w:ascii="Times New Roman" w:hAnsi="Times New Roman" w:cs="Times New Roman"/>
        </w:rPr>
        <w:t xml:space="preserve"> dynamics as PKOs are often sent </w:t>
      </w:r>
      <w:r w:rsidRPr="00E96CB7">
        <w:rPr>
          <w:rFonts w:ascii="Times New Roman" w:hAnsi="Times New Roman" w:cs="Times New Roman"/>
          <w:i/>
          <w:iCs/>
        </w:rPr>
        <w:t>during</w:t>
      </w:r>
      <w:r w:rsidRPr="002B7DA4">
        <w:rPr>
          <w:rFonts w:ascii="Times New Roman" w:hAnsi="Times New Roman" w:cs="Times New Roman"/>
        </w:rPr>
        <w:t xml:space="preserve"> conflict and any such anticipatory effects are likely to be observed within this time frame. </w:t>
      </w:r>
      <w:r w:rsidRPr="00E96CB7">
        <w:rPr>
          <w:rFonts w:ascii="Times New Roman" w:hAnsi="Times New Roman" w:cs="Times New Roman"/>
          <w:i/>
          <w:iCs/>
        </w:rPr>
        <w:t>Fourth</w:t>
      </w:r>
      <w:r w:rsidRPr="002B7DA4">
        <w:rPr>
          <w:rFonts w:ascii="Times New Roman" w:hAnsi="Times New Roman" w:cs="Times New Roman"/>
        </w:rPr>
        <w:t>, the treatment should ideally not interfere with the outcome of other non-treated units, lest these non-treated units used to create the synthetic unit be tainted with spillover effects from the treatment. While one could make a case that PKOs have a broadly pacifying effect globally, extant literature does not suggest such an effect. Further, on practical grounds, it seems unlikely that the onset of a PKO for a particular case has the capacity to significantly impact the prospects for post-conflict peace globally.</w:t>
      </w:r>
      <w:r w:rsidR="004F1A46">
        <w:rPr>
          <w:rStyle w:val="FootnoteReference"/>
          <w:rFonts w:ascii="Times New Roman" w:hAnsi="Times New Roman" w:cs="Times New Roman"/>
        </w:rPr>
        <w:footnoteReference w:id="1"/>
      </w:r>
      <w:r w:rsidRPr="002B7DA4">
        <w:rPr>
          <w:rFonts w:ascii="Times New Roman" w:hAnsi="Times New Roman" w:cs="Times New Roman"/>
        </w:rPr>
        <w:t xml:space="preserve"> </w:t>
      </w:r>
      <w:r w:rsidRPr="00E96CB7">
        <w:rPr>
          <w:rFonts w:ascii="Times New Roman" w:hAnsi="Times New Roman" w:cs="Times New Roman"/>
          <w:i/>
          <w:iCs/>
        </w:rPr>
        <w:t>Fifth</w:t>
      </w:r>
      <w:r w:rsidRPr="002B7DA4">
        <w:rPr>
          <w:rFonts w:ascii="Times New Roman" w:hAnsi="Times New Roman" w:cs="Times New Roman"/>
        </w:rPr>
        <w:t xml:space="preserve">, the treated case analyzed with this method should not be an extreme case with respect to the outcome, as it will be difficult to create a synthetic unit to match the treated unit. </w:t>
      </w:r>
      <w:r w:rsidRPr="00E96CB7">
        <w:rPr>
          <w:rFonts w:ascii="Times New Roman" w:hAnsi="Times New Roman" w:cs="Times New Roman"/>
          <w:i/>
          <w:iCs/>
        </w:rPr>
        <w:t>Sixth</w:t>
      </w:r>
      <w:r w:rsidRPr="002B7DA4">
        <w:rPr>
          <w:rFonts w:ascii="Times New Roman" w:hAnsi="Times New Roman" w:cs="Times New Roman"/>
        </w:rPr>
        <w:t xml:space="preserve">, ample data must be available for both the pre- and post-treatment periods to demonstrate the fit of the synthetic unit pre-treatment and to assess the full causal impact post-treatment. Given the availability of PKO and conflict-related data across time, this should not be a concern for this literature. </w:t>
      </w:r>
      <w:r w:rsidRPr="00E96CB7">
        <w:rPr>
          <w:rFonts w:ascii="Times New Roman" w:hAnsi="Times New Roman" w:cs="Times New Roman"/>
          <w:i/>
          <w:iCs/>
        </w:rPr>
        <w:t>Lastly</w:t>
      </w:r>
      <w:r w:rsidRPr="002B7DA4">
        <w:rPr>
          <w:rFonts w:ascii="Times New Roman" w:hAnsi="Times New Roman" w:cs="Times New Roman"/>
        </w:rPr>
        <w:t>, the SCM requires data to be aggregated at a large level, such as country-year or state-year levels. Again, this is not an issue with this inquiry given that most research in this domain is conducted at the country-year level.</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4D19041C" w14:textId="3AE2CC76" w:rsidR="00021549" w:rsidRPr="00021549" w:rsidRDefault="00021549" w:rsidP="00021549">
      <w:pPr>
        <w:rPr>
          <w:rFonts w:ascii="Times New Roman" w:hAnsi="Times New Roman" w:cs="Times New Roman"/>
          <w:i/>
          <w:iCs/>
        </w:rPr>
      </w:pPr>
      <w:r>
        <w:rPr>
          <w:rFonts w:ascii="Times New Roman" w:hAnsi="Times New Roman" w:cs="Times New Roman"/>
          <w:i/>
          <w:iCs/>
        </w:rPr>
        <w:t>DiD Discussion</w:t>
      </w:r>
    </w:p>
    <w:p w14:paraId="72ABAB7F" w14:textId="29CAAA41" w:rsidR="00021549" w:rsidRDefault="00021549" w:rsidP="00021549">
      <w:pPr>
        <w:rPr>
          <w:rFonts w:ascii="Times New Roman" w:hAnsi="Times New Roman" w:cs="Times New Roman"/>
          <w:i/>
          <w:iCs/>
        </w:rPr>
      </w:pPr>
      <w:r>
        <w:rPr>
          <w:rFonts w:ascii="Times New Roman" w:hAnsi="Times New Roman" w:cs="Times New Roman"/>
          <w:i/>
          <w:iCs/>
        </w:rPr>
        <w:t>Treatment and Control Selection</w:t>
      </w:r>
    </w:p>
    <w:p w14:paraId="5EF23BDB" w14:textId="6DF432E1"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E15B76">
        <w:rPr>
          <w:rFonts w:ascii="Times New Roman" w:hAnsi="Times New Roman" w:cs="Times New Roman"/>
          <w:i/>
          <w:iCs/>
        </w:rPr>
        <w:t xml:space="preserve"> (Terrorism because it occurs during and after conflict)</w:t>
      </w:r>
    </w:p>
    <w:p w14:paraId="7C654822" w14:textId="583155C2" w:rsidR="00021549" w:rsidRDefault="00021549" w:rsidP="00021549">
      <w:pPr>
        <w:rPr>
          <w:rFonts w:ascii="Times New Roman" w:hAnsi="Times New Roman" w:cs="Times New Roman"/>
          <w:i/>
          <w:iCs/>
        </w:rPr>
      </w:pPr>
      <w:r>
        <w:rPr>
          <w:rFonts w:ascii="Times New Roman" w:hAnsi="Times New Roman" w:cs="Times New Roman"/>
          <w:i/>
          <w:iCs/>
        </w:rPr>
        <w:t>Robustness Checks</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FCE55D9" w14:textId="4282AAEE" w:rsidR="00640865" w:rsidRDefault="007727A7">
      <w:pPr>
        <w:rPr>
          <w:rFonts w:ascii="Times New Roman" w:hAnsi="Times New Roman" w:cs="Times New Roman"/>
        </w:rPr>
      </w:pPr>
      <w:r>
        <w:rPr>
          <w:rFonts w:ascii="Times New Roman" w:hAnsi="Times New Roman" w:cs="Times New Roman"/>
          <w:b/>
          <w:bCs/>
        </w:rPr>
        <w:t>Case Background</w:t>
      </w:r>
    </w:p>
    <w:p w14:paraId="29E4366B" w14:textId="73429CAA" w:rsidR="00410D98" w:rsidRPr="00410D98" w:rsidRDefault="00410D98">
      <w:pPr>
        <w:rPr>
          <w:rFonts w:ascii="Times New Roman" w:hAnsi="Times New Roman" w:cs="Times New Roman"/>
          <w:i/>
          <w:iCs/>
        </w:rPr>
      </w:pPr>
      <w:r>
        <w:rPr>
          <w:rFonts w:ascii="Times New Roman" w:hAnsi="Times New Roman" w:cs="Times New Roman"/>
          <w:i/>
          <w:iCs/>
        </w:rPr>
        <w:t>Introduce the case (briefly)</w:t>
      </w:r>
    </w:p>
    <w:p w14:paraId="5C6663F8" w14:textId="45D37F70" w:rsidR="00B121D2" w:rsidRDefault="00B121D2">
      <w:pPr>
        <w:rPr>
          <w:rFonts w:ascii="Times New Roman" w:hAnsi="Times New Roman" w:cs="Times New Roman"/>
          <w:i/>
          <w:iCs/>
        </w:rPr>
      </w:pPr>
      <w:r>
        <w:rPr>
          <w:rFonts w:ascii="Times New Roman" w:hAnsi="Times New Roman" w:cs="Times New Roman"/>
          <w:i/>
          <w:iCs/>
        </w:rPr>
        <w:t>Justification of Case</w:t>
      </w:r>
      <w:r w:rsidR="00EE32F0">
        <w:rPr>
          <w:rFonts w:ascii="Times New Roman" w:hAnsi="Times New Roman" w:cs="Times New Roman"/>
          <w:i/>
          <w:iCs/>
        </w:rPr>
        <w:t xml:space="preserve"> (Greig’s Comments About Specifying that I am talking about a large-in-scope PKO, Assumptions of Synthetic Control</w:t>
      </w:r>
      <w:r w:rsidR="00996F3A">
        <w:rPr>
          <w:rFonts w:ascii="Times New Roman" w:hAnsi="Times New Roman" w:cs="Times New Roman"/>
          <w:i/>
          <w:iCs/>
        </w:rPr>
        <w:t>, Has any other study done a case study on this case?</w:t>
      </w:r>
      <w:r w:rsidR="00EE32F0">
        <w:rPr>
          <w:rFonts w:ascii="Times New Roman" w:hAnsi="Times New Roman" w:cs="Times New Roman"/>
          <w:i/>
          <w:iCs/>
        </w:rPr>
        <w:t>)</w:t>
      </w:r>
    </w:p>
    <w:p w14:paraId="4EAF82E0" w14:textId="2D3B70E2" w:rsidR="007727A7" w:rsidRDefault="007727A7">
      <w:pPr>
        <w:rPr>
          <w:rFonts w:ascii="Times New Roman" w:hAnsi="Times New Roman" w:cs="Times New Roman"/>
          <w:i/>
          <w:iCs/>
        </w:rPr>
      </w:pPr>
      <w:r>
        <w:rPr>
          <w:rFonts w:ascii="Times New Roman" w:hAnsi="Times New Roman" w:cs="Times New Roman"/>
          <w:i/>
          <w:iCs/>
        </w:rPr>
        <w:t>The Conflict</w:t>
      </w:r>
    </w:p>
    <w:p w14:paraId="1ED98A14" w14:textId="4ABC004C" w:rsidR="007727A7" w:rsidRDefault="007727A7">
      <w:pPr>
        <w:rPr>
          <w:rFonts w:ascii="Times New Roman" w:hAnsi="Times New Roman" w:cs="Times New Roman"/>
        </w:rPr>
      </w:pPr>
      <w:r>
        <w:rPr>
          <w:rFonts w:ascii="Times New Roman" w:hAnsi="Times New Roman" w:cs="Times New Roman"/>
          <w:i/>
          <w:iCs/>
        </w:rPr>
        <w:t>The Peacekeeping Operation</w:t>
      </w:r>
    </w:p>
    <w:p w14:paraId="29644EC2" w14:textId="6B668A33" w:rsidR="00021549" w:rsidRPr="00021549" w:rsidRDefault="00021549">
      <w:pPr>
        <w:rPr>
          <w:rFonts w:ascii="Times New Roman" w:hAnsi="Times New Roman" w:cs="Times New Roman"/>
          <w:b/>
          <w:bCs/>
        </w:rPr>
      </w:pPr>
      <w:r>
        <w:rPr>
          <w:rFonts w:ascii="Times New Roman" w:hAnsi="Times New Roman" w:cs="Times New Roman"/>
          <w:b/>
          <w:bCs/>
        </w:rPr>
        <w:t>Results</w:t>
      </w:r>
    </w:p>
    <w:p w14:paraId="0737C6AE" w14:textId="77777777" w:rsidR="007727A7" w:rsidRPr="007727A7" w:rsidRDefault="007727A7">
      <w:pPr>
        <w:rPr>
          <w:rFonts w:ascii="Times New Roman" w:hAnsi="Times New Roman" w:cs="Times New Roman"/>
        </w:rPr>
      </w:pP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39CF" w14:textId="77777777" w:rsidR="00917B83" w:rsidRDefault="00917B83" w:rsidP="004F1A46">
      <w:pPr>
        <w:spacing w:after="0" w:line="240" w:lineRule="auto"/>
      </w:pPr>
      <w:r>
        <w:separator/>
      </w:r>
    </w:p>
  </w:endnote>
  <w:endnote w:type="continuationSeparator" w:id="0">
    <w:p w14:paraId="5615BD31" w14:textId="77777777" w:rsidR="00917B83" w:rsidRDefault="00917B83"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8924" w14:textId="77777777" w:rsidR="00917B83" w:rsidRDefault="00917B83" w:rsidP="004F1A46">
      <w:pPr>
        <w:spacing w:after="0" w:line="240" w:lineRule="auto"/>
      </w:pPr>
      <w:r>
        <w:separator/>
      </w:r>
    </w:p>
  </w:footnote>
  <w:footnote w:type="continuationSeparator" w:id="0">
    <w:p w14:paraId="74361171" w14:textId="77777777" w:rsidR="00917B83" w:rsidRDefault="00917B83" w:rsidP="004F1A46">
      <w:pPr>
        <w:spacing w:after="0" w:line="240" w:lineRule="auto"/>
      </w:pPr>
      <w:r>
        <w:continuationSeparator/>
      </w:r>
    </w:p>
  </w:footnote>
  <w:footnote w:id="1">
    <w:p w14:paraId="62660095" w14:textId="5E9BDCDE" w:rsidR="004F1A46" w:rsidRPr="00220BCE" w:rsidRDefault="004F1A46">
      <w:pPr>
        <w:pStyle w:val="FootnoteText"/>
        <w:rPr>
          <w:rFonts w:ascii="Times New Roman" w:hAnsi="Times New Roman" w:cs="Times New Roman"/>
        </w:rPr>
      </w:pPr>
      <w:r w:rsidRPr="00220BCE">
        <w:rPr>
          <w:rStyle w:val="FootnoteReference"/>
          <w:rFonts w:ascii="Times New Roman" w:hAnsi="Times New Roman" w:cs="Times New Roman"/>
        </w:rPr>
        <w:footnoteRef/>
      </w:r>
      <w:r w:rsidRPr="00220BCE">
        <w:rPr>
          <w:rFonts w:ascii="Times New Roman" w:hAnsi="Times New Roman" w:cs="Times New Roman"/>
        </w:rPr>
        <w:t xml:space="preserve"> Still, I do acknowledge this critique as a valid concern given the literature on the </w:t>
      </w:r>
      <w:r w:rsidR="00220BCE" w:rsidRPr="00220BCE">
        <w:rPr>
          <w:rFonts w:ascii="Times New Roman" w:hAnsi="Times New Roman" w:cs="Times New Roman"/>
        </w:rPr>
        <w:t>relationship between</w:t>
      </w:r>
      <w:r w:rsidRPr="00220BCE">
        <w:rPr>
          <w:rFonts w:ascii="Times New Roman" w:hAnsi="Times New Roman" w:cs="Times New Roman"/>
        </w:rPr>
        <w:t xml:space="preserve"> contiguity </w:t>
      </w:r>
      <w:r w:rsidR="00220BCE" w:rsidRPr="00220BCE">
        <w:rPr>
          <w:rFonts w:ascii="Times New Roman" w:hAnsi="Times New Roman" w:cs="Times New Roman"/>
        </w:rPr>
        <w:t>and conflict</w:t>
      </w:r>
      <w:r w:rsidR="00F935AB">
        <w:rPr>
          <w:rFonts w:ascii="Times New Roman" w:hAnsi="Times New Roman" w:cs="Times New Roman"/>
        </w:rPr>
        <w:t xml:space="preserve"> (</w:t>
      </w:r>
      <w:proofErr w:type="spellStart"/>
      <w:r w:rsidR="00F935AB">
        <w:rPr>
          <w:rFonts w:ascii="Times New Roman" w:hAnsi="Times New Roman" w:cs="Times New Roman"/>
        </w:rPr>
        <w:t>Salehyan</w:t>
      </w:r>
      <w:proofErr w:type="spellEnd"/>
      <w:r w:rsidR="00F935AB">
        <w:rPr>
          <w:rFonts w:ascii="Times New Roman" w:hAnsi="Times New Roman" w:cs="Times New Roman"/>
        </w:rPr>
        <w:t xml:space="preserve"> and </w:t>
      </w:r>
      <w:proofErr w:type="spellStart"/>
      <w:r w:rsidR="00F935AB">
        <w:rPr>
          <w:rFonts w:ascii="Times New Roman" w:hAnsi="Times New Roman" w:cs="Times New Roman"/>
        </w:rPr>
        <w:t>Gleditsch</w:t>
      </w:r>
      <w:proofErr w:type="spellEnd"/>
      <w:r w:rsidR="00F935AB">
        <w:rPr>
          <w:rFonts w:ascii="Times New Roman" w:hAnsi="Times New Roman" w:cs="Times New Roman"/>
        </w:rPr>
        <w:t xml:space="preserve">  2006, </w:t>
      </w:r>
      <w:proofErr w:type="spellStart"/>
      <w:r w:rsidR="007C223A">
        <w:rPr>
          <w:rFonts w:ascii="Times New Roman" w:hAnsi="Times New Roman" w:cs="Times New Roman"/>
        </w:rPr>
        <w:t>Buhaug</w:t>
      </w:r>
      <w:proofErr w:type="spellEnd"/>
      <w:r w:rsidR="007C223A">
        <w:rPr>
          <w:rFonts w:ascii="Times New Roman" w:hAnsi="Times New Roman" w:cs="Times New Roman"/>
        </w:rPr>
        <w:t xml:space="preserve"> and </w:t>
      </w:r>
      <w:proofErr w:type="spellStart"/>
      <w:r w:rsidR="007C223A">
        <w:rPr>
          <w:rFonts w:ascii="Times New Roman" w:hAnsi="Times New Roman" w:cs="Times New Roman"/>
        </w:rPr>
        <w:t>Gleditsch</w:t>
      </w:r>
      <w:proofErr w:type="spellEnd"/>
      <w:r w:rsidR="007C223A">
        <w:rPr>
          <w:rFonts w:ascii="Times New Roman" w:hAnsi="Times New Roman" w:cs="Times New Roman"/>
        </w:rPr>
        <w:t xml:space="preserve"> 2008, </w:t>
      </w:r>
      <w:proofErr w:type="spellStart"/>
      <w:r w:rsidR="00F935AB">
        <w:rPr>
          <w:rFonts w:ascii="Times New Roman" w:hAnsi="Times New Roman" w:cs="Times New Roman"/>
        </w:rPr>
        <w:t>Cederman</w:t>
      </w:r>
      <w:proofErr w:type="spellEnd"/>
      <w:r w:rsidR="00F935AB">
        <w:rPr>
          <w:rFonts w:ascii="Times New Roman" w:hAnsi="Times New Roman" w:cs="Times New Roman"/>
        </w:rPr>
        <w:t xml:space="preserve"> et al. 2013)</w:t>
      </w:r>
      <w:r w:rsidR="00220BCE" w:rsidRPr="00220BCE">
        <w:rPr>
          <w:rFonts w:ascii="Times New Roman" w:hAnsi="Times New Roman" w:cs="Times New Roman"/>
        </w:rPr>
        <w:t>. Further, because the synthetic unit is constructed from similar non-treated units (and many of these units may be contiguous to the treated unit), this warrants caution in the creation of the synthetic unit.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21549"/>
    <w:rsid w:val="000B5540"/>
    <w:rsid w:val="000E7678"/>
    <w:rsid w:val="001245EB"/>
    <w:rsid w:val="00220BCE"/>
    <w:rsid w:val="00336EA9"/>
    <w:rsid w:val="003E2A01"/>
    <w:rsid w:val="003F40B2"/>
    <w:rsid w:val="00410D98"/>
    <w:rsid w:val="0044488D"/>
    <w:rsid w:val="004F1A46"/>
    <w:rsid w:val="00500470"/>
    <w:rsid w:val="005303B0"/>
    <w:rsid w:val="00575260"/>
    <w:rsid w:val="00594DAB"/>
    <w:rsid w:val="005C6F7E"/>
    <w:rsid w:val="0060417B"/>
    <w:rsid w:val="00645301"/>
    <w:rsid w:val="00656108"/>
    <w:rsid w:val="006A3C35"/>
    <w:rsid w:val="006B2816"/>
    <w:rsid w:val="006C08ED"/>
    <w:rsid w:val="006E1FFD"/>
    <w:rsid w:val="00711D41"/>
    <w:rsid w:val="00743C0C"/>
    <w:rsid w:val="00746174"/>
    <w:rsid w:val="00751C1A"/>
    <w:rsid w:val="007559B2"/>
    <w:rsid w:val="00765068"/>
    <w:rsid w:val="007727A7"/>
    <w:rsid w:val="00792790"/>
    <w:rsid w:val="007A1FC3"/>
    <w:rsid w:val="007C223A"/>
    <w:rsid w:val="007C6400"/>
    <w:rsid w:val="007D3732"/>
    <w:rsid w:val="00824BBE"/>
    <w:rsid w:val="00851948"/>
    <w:rsid w:val="00876438"/>
    <w:rsid w:val="008B7E40"/>
    <w:rsid w:val="00917B83"/>
    <w:rsid w:val="00976FEF"/>
    <w:rsid w:val="009844BF"/>
    <w:rsid w:val="00996F3A"/>
    <w:rsid w:val="009B2E74"/>
    <w:rsid w:val="009C5AE2"/>
    <w:rsid w:val="00A037D6"/>
    <w:rsid w:val="00A072B1"/>
    <w:rsid w:val="00A3562A"/>
    <w:rsid w:val="00A4509E"/>
    <w:rsid w:val="00A81D34"/>
    <w:rsid w:val="00AD64B0"/>
    <w:rsid w:val="00AD7C7B"/>
    <w:rsid w:val="00B11237"/>
    <w:rsid w:val="00B121D2"/>
    <w:rsid w:val="00B13DB9"/>
    <w:rsid w:val="00B227A2"/>
    <w:rsid w:val="00B40C59"/>
    <w:rsid w:val="00BF7ADB"/>
    <w:rsid w:val="00C41D13"/>
    <w:rsid w:val="00C76EA5"/>
    <w:rsid w:val="00C92A95"/>
    <w:rsid w:val="00D132AD"/>
    <w:rsid w:val="00D16E36"/>
    <w:rsid w:val="00D30D58"/>
    <w:rsid w:val="00D36C57"/>
    <w:rsid w:val="00D6751A"/>
    <w:rsid w:val="00DC2707"/>
    <w:rsid w:val="00DE766F"/>
    <w:rsid w:val="00DF5091"/>
    <w:rsid w:val="00E15B76"/>
    <w:rsid w:val="00E44E1C"/>
    <w:rsid w:val="00E559D3"/>
    <w:rsid w:val="00EA5C79"/>
    <w:rsid w:val="00EE32F0"/>
    <w:rsid w:val="00F8032F"/>
    <w:rsid w:val="00F935AB"/>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7</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74</cp:revision>
  <dcterms:created xsi:type="dcterms:W3CDTF">2022-11-29T03:26:00Z</dcterms:created>
  <dcterms:modified xsi:type="dcterms:W3CDTF">2022-12-07T00:19:00Z</dcterms:modified>
</cp:coreProperties>
</file>