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搜索parametric imaging，相关论文一篇：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Characterization of concentrated scattering media using ultrasound parameric imaging based on Homodyned-K Distribution （page 892）：Homodyned-K (HK) 分布的 μ参数更能区分浓缩的媒介和完全发展的散斑，但是它对样本size比较敏感，这样会影响参数成像的性能，本文研究对μ参数更适合的side length。与Nakagami的m参数做对比，m参数适合SL=3 times pulse length，对μ参数的话SL从1到10进行测验，发现，可靠的μ参数成像需要SL&gt;=5。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搜索envelop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Quantitative evaluation method for liver fibrosis in clinical ultrasound B-mode image based on optimized multi-Rayleigh model （page 893）：提出一种优化的MRA模型即多瑞利模型来评估肝脏纤维化，非散斑信号的影响被移除，RA部件的数目也会适应性地改变。纤维化阶段变化会导致估计的纤维组织特征的变化。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Abdominal and Pelvic Tissue Characterization腹部和盆腔组织表征：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Development of double Nakagami distribution model for quantitative evaluation of early-stage fatty-liver disease （page 106）：量化，监管，检测早期脂肪肝，使用双重Nakagami分布的概率密度函数，</w:t>
      </w:r>
      <w:r>
        <w:drawing>
          <wp:inline distT="0" distB="0" distL="114300" distR="114300">
            <wp:extent cx="214312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依据是假设脂肪肝由健康肝脏的结构和脂滴组成。估计三个参数</w:t>
      </w:r>
      <w:r>
        <w:drawing>
          <wp:inline distT="0" distB="0" distL="114300" distR="114300">
            <wp:extent cx="752475" cy="123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最终通过</w:t>
      </w:r>
      <w:r>
        <w:drawing>
          <wp:inline distT="0" distB="0" distL="114300" distR="114300">
            <wp:extent cx="514350" cy="9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可以检测早期脂肪肝，健康肝，早期脂肪肝，严重脂肪肝的参数分布情况不一样。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癌症：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Quantitative ultrasound-based detection of cancerous thyroid nodules （page 257）：使用量化超声的非侵入式诊断方法检测甲状腺癌，这个方法叫做QUS，综合使用Nakagami分布的包络统计，QUS-estimate values, 比如 effective scatter diameter (ESD), effective scatter concentration (ESC), and spectral parameters (i.e., midband fit, slope, and intercept) 作为特征，用线性分类器或SVM分类器。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Multi-Parametric and Multi-Wave Tissue Characterization：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Fatty liver assessment using ultrasound multifeatures based on machine learning （page 450）：诊断Nonalcoholic fatty liver disease (NAFLD)，计算三个参数{</w:t>
      </w:r>
      <w:r>
        <w:rPr>
          <w:rFonts w:hint="eastAsia"/>
          <w:b/>
          <w:bCs/>
          <w:lang w:val="en-US" w:eastAsia="zh-CN"/>
        </w:rPr>
        <w:t>integrated backscatter</w:t>
      </w:r>
      <w:r>
        <w:rPr>
          <w:rFonts w:hint="eastAsia"/>
          <w:lang w:val="en-US" w:eastAsia="zh-CN"/>
        </w:rPr>
        <w:t xml:space="preserve"> (IB, a measure of echo intensity), </w:t>
      </w:r>
      <w:r>
        <w:rPr>
          <w:rFonts w:hint="eastAsia"/>
          <w:b/>
          <w:bCs/>
          <w:lang w:val="en-US" w:eastAsia="zh-CN"/>
        </w:rPr>
        <w:t>Q factor</w:t>
      </w:r>
      <w:r>
        <w:rPr>
          <w:rFonts w:hint="eastAsia"/>
          <w:lang w:val="en-US" w:eastAsia="zh-CN"/>
        </w:rPr>
        <w:t xml:space="preserve"> (proposed as a new estimate of frequency downshift due to attenuation), and </w:t>
      </w:r>
      <w:r>
        <w:rPr>
          <w:rFonts w:hint="eastAsia"/>
          <w:b/>
          <w:bCs/>
          <w:lang w:val="en-US" w:eastAsia="zh-CN"/>
        </w:rPr>
        <w:t>homogeneity factor</w:t>
      </w:r>
      <w:r>
        <w:rPr>
          <w:rFonts w:hint="eastAsia"/>
          <w:lang w:val="en-US" w:eastAsia="zh-CN"/>
        </w:rPr>
        <w:t xml:space="preserve"> (HF, a new parameter proposed to describe the speckle pattern)}，使用SVM分类器f(IB, Q factor, HF)，准确率为86.49%，AUROC为0.8899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Leveraging Deep Learning and Pulse Compression利用深度学习和脉冲压缩：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WaveFlow – Towards Integration of Ultrasound Processing with Deep Learning （page 603</w:t>
      </w:r>
      <w:bookmarkStart w:id="0" w:name="_GoBack"/>
      <w:bookmarkEnd w:id="0"/>
      <w:r>
        <w:rPr>
          <w:rFonts w:hint="eastAsia"/>
          <w:lang w:val="en-US" w:eastAsia="zh-CN"/>
        </w:rPr>
        <w:t>）：挺有趣的，超声成像过程结合深度学习，将机器学习用于信号处理，实现机器学习增强的实时超声成像。一个工具WaveFlow，包括超声数据获得以及信号处理，它提供了一个环境，在RF和TensorFlow之间，还包括信号处理操作，比如波束形成，预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1C25"/>
    <w:rsid w:val="06BA5268"/>
    <w:rsid w:val="11F01B87"/>
    <w:rsid w:val="1A052ED0"/>
    <w:rsid w:val="1BDD6F78"/>
    <w:rsid w:val="1D803009"/>
    <w:rsid w:val="236B0351"/>
    <w:rsid w:val="24120879"/>
    <w:rsid w:val="2AA31FF4"/>
    <w:rsid w:val="2AC0582B"/>
    <w:rsid w:val="2EAE1C07"/>
    <w:rsid w:val="31926C86"/>
    <w:rsid w:val="3B2A4292"/>
    <w:rsid w:val="4BCA1DCE"/>
    <w:rsid w:val="565E21B5"/>
    <w:rsid w:val="5C1242FC"/>
    <w:rsid w:val="5CF7080A"/>
    <w:rsid w:val="5FE90619"/>
    <w:rsid w:val="60DE7C7A"/>
    <w:rsid w:val="64924BC3"/>
    <w:rsid w:val="66125972"/>
    <w:rsid w:val="6A4B0B87"/>
    <w:rsid w:val="793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Italic" w:hAnsi="Italic" w:eastAsia="Italic" w:cs="Italic"/>
      <w:i/>
      <w:color w:val="00000A"/>
      <w:sz w:val="16"/>
      <w:szCs w:val="16"/>
    </w:rPr>
  </w:style>
  <w:style w:type="character" w:customStyle="1" w:styleId="5">
    <w:name w:val="fontstyle11"/>
    <w:basedOn w:val="2"/>
    <w:uiPriority w:val="0"/>
    <w:rPr>
      <w:rFonts w:ascii="TimesNewRoman" w:hAnsi="TimesNewRoman" w:eastAsia="TimesNewRoman" w:cs="TimesNewRoman"/>
      <w:color w:val="00000A"/>
      <w:sz w:val="16"/>
      <w:szCs w:val="16"/>
    </w:rPr>
  </w:style>
  <w:style w:type="character" w:customStyle="1" w:styleId="6">
    <w:name w:val="fontstyle21"/>
    <w:basedOn w:val="2"/>
    <w:uiPriority w:val="0"/>
    <w:rPr>
      <w:color w:val="00000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2018-11-20T08:34:21Z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