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运营复盘与防错手册</w:t>
      </w:r>
    </w:p>
    <w:p>
      <w:pPr>
        <w:pStyle w:val="Subtitle"/>
      </w:pPr>
      <w:r>
        <w:t>去隐私摘要</w:t>
      </w:r>
    </w:p>
    <w:p>
      <w:pPr>
        <w:pStyle w:val="Normal"/>
      </w:pPr>
      <w:r>
        <w:t>本文档提炼可复用的风险控制经验。已移除人员、账号、链接、绝对路径、项目与产品标识、具体指标、金额、日期、平台入口及内部技术细节。</w:t>
      </w:r>
    </w:p>
    <w:p>
      <w:pPr>
        <w:pStyle w:val="Heading1"/>
      </w:pPr>
      <w:r>
        <w:t>使用原则</w:t>
      </w:r>
    </w:p>
    <w:p>
      <w:pPr>
        <w:pStyle w:val="Normal"/>
      </w:pPr>
      <w:r>
        <w:t>将每次已解决的问题记录为可检索的复盘条目，并在新项目启动、重大操作前和异常发生时复查相关经验，避免同类问题重复发生。</w:t>
      </w:r>
    </w:p>
    <w:p>
      <w:pPr>
        <w:pStyle w:val="Normal"/>
      </w:pPr>
      <w:r>
        <w:t>每条复盘应至少记录现象、根因、解决方法和下一次的预防动作；重大问题可补充场景、影响和验证结果。</w:t>
      </w:r>
    </w:p>
    <w:p>
      <w:pPr>
        <w:pStyle w:val="Heading1"/>
      </w:pPr>
      <w:r>
        <w:t>运营监控</w:t>
      </w:r>
    </w:p>
    <w:p>
      <w:pPr>
        <w:pStyle w:val="Normal"/>
        <w:numPr>
          <w:ilvl w:val="0"/>
          <w:numId w:val="1"/>
        </w:numPr>
      </w:pPr>
      <w:r>
        <w:t>为竞价、预算和异常消耗设定明确上限；对长期无效的活动及时停止或调整，避免持续损耗。</w:t>
      </w:r>
    </w:p>
    <w:p>
      <w:pPr>
        <w:pStyle w:val="Normal"/>
        <w:numPr>
          <w:ilvl w:val="0"/>
          <w:numId w:val="1"/>
        </w:numPr>
      </w:pPr>
      <w:r>
        <w:t>排名或流量明显波动时，先验证竞争变化、索引状态和数据完整性，再决定是否调整投入。</w:t>
      </w:r>
    </w:p>
    <w:p>
      <w:pPr>
        <w:pStyle w:val="Normal"/>
        <w:numPr>
          <w:ilvl w:val="0"/>
          <w:numId w:val="1"/>
        </w:numPr>
      </w:pPr>
      <w:r>
        <w:t>避免把单一实体或单一词的短期表现当作整体结论，应以组合策略分散风险并持续复查。</w:t>
      </w:r>
    </w:p>
    <w:p>
      <w:pPr>
        <w:pStyle w:val="Heading1"/>
      </w:pPr>
      <w:r>
        <w:t>内容与上架验收</w:t>
      </w:r>
    </w:p>
    <w:p>
      <w:pPr>
        <w:pStyle w:val="Normal"/>
        <w:numPr>
          <w:ilvl w:val="0"/>
          <w:numId w:val="1"/>
        </w:numPr>
      </w:pPr>
      <w:r>
        <w:t>上架或内容更新后，应检查搜索索引、曝光和关键字段是否生效；未通过验收前不应假定内容已被平台收录。</w:t>
      </w:r>
    </w:p>
    <w:p>
      <w:pPr>
        <w:pStyle w:val="Normal"/>
        <w:numPr>
          <w:ilvl w:val="0"/>
          <w:numId w:val="1"/>
        </w:numPr>
      </w:pPr>
      <w:r>
        <w:t>关键词命名需避免歧义，首次使用前应人工核验实际搜索结果和匹配对象。</w:t>
      </w:r>
    </w:p>
    <w:p>
      <w:pPr>
        <w:pStyle w:val="Heading1"/>
      </w:pPr>
      <w:r>
        <w:t>安全与协作</w:t>
      </w:r>
    </w:p>
    <w:p>
      <w:pPr>
        <w:pStyle w:val="Normal"/>
        <w:numPr>
          <w:ilvl w:val="0"/>
          <w:numId w:val="1"/>
        </w:numPr>
      </w:pPr>
      <w:r>
        <w:t>密钥、令牌和其他凭证不得写入代码、文档或会话记录；一旦暴露，应立即轮换并改用受控存储或环境变量。</w:t>
      </w:r>
    </w:p>
    <w:p>
      <w:pPr>
        <w:pStyle w:val="Normal"/>
        <w:numPr>
          <w:ilvl w:val="0"/>
          <w:numId w:val="1"/>
        </w:numPr>
      </w:pPr>
      <w:r>
        <w:t>协作系统写入失败时，优先检查访问授权、身份权限和目标资源共享关系。</w:t>
      </w:r>
    </w:p>
    <w:p>
      <w:pPr>
        <w:pStyle w:val="Heading1"/>
      </w:pPr>
      <w:r>
        <w:t>数据与工具可靠性</w:t>
      </w:r>
    </w:p>
    <w:p>
      <w:pPr>
        <w:pStyle w:val="Normal"/>
        <w:numPr>
          <w:ilvl w:val="0"/>
          <w:numId w:val="1"/>
        </w:numPr>
      </w:pPr>
      <w:r>
        <w:t>任何单一数据源都可能存在覆盖盲区、临时故障或频率限制；关键结论应准备替代来源并交叉验证。</w:t>
      </w:r>
    </w:p>
    <w:p>
      <w:pPr>
        <w:pStyle w:val="Normal"/>
        <w:numPr>
          <w:ilvl w:val="0"/>
          <w:numId w:val="1"/>
        </w:numPr>
      </w:pPr>
      <w:r>
        <w:t>面对无法直接读取的动态页面或画布数据，应优先使用正式导出能力获取结构化文件，而不是依赖脆弱的界面解析。</w:t>
      </w:r>
    </w:p>
    <w:p>
      <w:pPr>
        <w:pStyle w:val="Normal"/>
        <w:numPr>
          <w:ilvl w:val="0"/>
          <w:numId w:val="1"/>
        </w:numPr>
      </w:pPr>
      <w:r>
        <w:t>自动化数据处理需要验证字符编码、特殊符号和中间结果的完整性，避免命令解释或编码转换导致数据失真。</w:t>
      </w:r>
    </w:p>
    <w:p>
      <w:pPr>
        <w:pStyle w:val="Heading1"/>
      </w:pPr>
      <w:r>
        <w:t>文件与知识管理</w:t>
      </w:r>
    </w:p>
    <w:p>
      <w:pPr>
        <w:pStyle w:val="Normal"/>
        <w:numPr>
          <w:ilvl w:val="0"/>
          <w:numId w:val="1"/>
        </w:numPr>
      </w:pPr>
      <w:r>
        <w:t>将产出、导出文件和运行记录集中存放在受控工作目录，并使用一致命名，避免跨盘散落和残留文件。</w:t>
      </w:r>
    </w:p>
    <w:p>
      <w:pPr>
        <w:pStyle w:val="Normal"/>
        <w:numPr>
          <w:ilvl w:val="0"/>
          <w:numId w:val="1"/>
        </w:numPr>
      </w:pPr>
      <w:r>
        <w:t>将重复出现的故障沉淀为检查清单、模板或统一入口脚本，使预防措施成为日常流程的一部分。</w:t>
      </w:r>
    </w:p>
    <w:p>
      <w:pPr>
        <w:pStyle w:val="Heading1"/>
      </w:pPr>
      <w:r>
        <w:t>计划与节奏</w:t>
      </w:r>
    </w:p>
    <w:p>
      <w:pPr>
        <w:pStyle w:val="Normal"/>
      </w:pPr>
      <w:r>
        <w:t>对具有季节性的品类，应依据历史趋势制定上架、补货和投入节奏；关键阈值和具体数量须以当期数据重新验证。</w:t>
      </w:r>
    </w:p>
    <w:p>
      <w:pPr>
        <w:pStyle w:val="Heading1"/>
      </w:pPr>
      <w:r>
        <w:t>公开使用注意</w:t>
      </w:r>
    </w:p>
    <w:p>
      <w:pPr>
        <w:pStyle w:val="Normal"/>
      </w:pPr>
      <w:r>
        <w:t>对外分享时，不应附带原始项目、商品词、内部账号、API 信息、访问地址、本地目录、具体金额、排名、库存或时间表。</w:t>
      </w:r>
    </w:p>
    <w:p>
      <w:pPr>
        <w:pStyle w:val="Heading1"/>
      </w:pPr>
      <w:r>
        <w:t>来源说明</w:t>
      </w:r>
    </w:p>
    <w:p>
      <w:pPr>
        <w:pStyle w:val="Normal"/>
      </w:pPr>
      <w:r>
        <w:t>本摘要基于用户提供的历史复盘日志整理，仅保留通用防错方法与管理原则。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eastAsia="Microsoft YaHei"/>
        <w:sz w:val="22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36"/>
    </w:rPr>
  </w:style>
  <w:style w:type="paragraph" w:styleId="Subtitle">
    <w:name w:val="Subtitle"/>
    <w:rPr>
      <w:color w:val="666666"/>
      <w:sz w:val="24"/>
    </w:rPr>
  </w:style>
  <w:style w:type="paragraph" w:styleId="Heading1">
    <w:name w:val="heading 1"/>
    <w:rPr>
      <w:b/>
      <w:sz w:val="28"/>
      <w:color w:val="1F4E7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运营复盘与防错手册 - 去隐私摘要</dc:title>
  <dc:creator>Codex</dc:creator>
  <dcterms:created xsi:type="dcterms:W3CDTF">2026-07-14T00:00:00Z</dcterms:created>
</cp:coreProperties>
</file>