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全局工作台工作手册</w:t>
      </w:r>
    </w:p>
    <w:p>
      <w:pPr>
        <w:pStyle w:val="Subtitle"/>
      </w:pPr>
      <w:r>
        <w:t>去隐私摘要</w:t>
      </w:r>
    </w:p>
    <w:p>
      <w:pPr>
        <w:pStyle w:val="Normal"/>
      </w:pPr>
      <w:r>
        <w:t>本文档仅保留可复用的工作方法与治理原则，已泛化可识别的人员、账号、链接、绝对路径、项目标识、产品关键词、经营金额与具体日期。</w:t>
      </w:r>
    </w:p>
    <w:p>
      <w:pPr>
        <w:pStyle w:val="Heading1"/>
      </w:pPr>
      <w:r>
        <w:t>核心定位</w:t>
      </w:r>
    </w:p>
    <w:p>
      <w:pPr>
        <w:pStyle w:val="Normal"/>
      </w:pPr>
      <w:r>
        <w:t>该手册用于统一电商运营工作台的文件管理、日常执行节奏、项目记录方式和 AI 协作规则。</w:t>
      </w:r>
    </w:p>
    <w:p>
      <w:pPr>
        <w:pStyle w:val="Heading1"/>
      </w:pPr>
      <w:r>
        <w:t>工作与文件管理</w:t>
      </w:r>
    </w:p>
    <w:p>
      <w:pPr>
        <w:pStyle w:val="Normal"/>
        <w:numPr>
          <w:ilvl w:val="0"/>
          <w:numId w:val="1"/>
        </w:numPr>
      </w:pPr>
      <w:r>
        <w:t>将项目资料集中存放在统一工作目录，避免分散保存。</w:t>
      </w:r>
    </w:p>
    <w:p>
      <w:pPr>
        <w:pStyle w:val="Normal"/>
        <w:numPr>
          <w:ilvl w:val="0"/>
          <w:numId w:val="1"/>
        </w:numPr>
      </w:pPr>
      <w:r>
        <w:t>每个新项目建立独立说明文件，持续记录目标、状态、里程碑、决策、问题和执行日志。</w:t>
      </w:r>
    </w:p>
    <w:p>
      <w:pPr>
        <w:pStyle w:val="Normal"/>
        <w:numPr>
          <w:ilvl w:val="0"/>
          <w:numId w:val="1"/>
        </w:numPr>
      </w:pPr>
      <w:r>
        <w:t>启动新会话或新项目时，先检查现有资料与历史问题库，避免重复建设和重复犯错。</w:t>
      </w:r>
    </w:p>
    <w:p>
      <w:pPr>
        <w:pStyle w:val="Heading1"/>
      </w:pPr>
      <w:r>
        <w:t>日常运营流程</w:t>
      </w:r>
    </w:p>
    <w:p>
      <w:pPr>
        <w:pStyle w:val="Normal"/>
        <w:numPr>
          <w:ilvl w:val="0"/>
          <w:numId w:val="1"/>
        </w:numPr>
      </w:pPr>
      <w:r>
        <w:t>围绕关键词排名、广告表现、销量数据、复查和日报同步建立固定节奏。</w:t>
      </w:r>
    </w:p>
    <w:p>
      <w:pPr>
        <w:pStyle w:val="Normal"/>
        <w:numPr>
          <w:ilvl w:val="0"/>
          <w:numId w:val="1"/>
        </w:numPr>
      </w:pPr>
      <w:r>
        <w:t>发现问题后，及时形成结构化复盘并纳入问题库，确保经验可以复用。</w:t>
      </w:r>
    </w:p>
    <w:p>
      <w:pPr>
        <w:pStyle w:val="Normal"/>
        <w:numPr>
          <w:ilvl w:val="0"/>
          <w:numId w:val="1"/>
        </w:numPr>
      </w:pPr>
      <w:r>
        <w:t>按标准操作流程处理例行工作，包括排名扫描、广告日报、销量台账、新品上架和协作同步。</w:t>
      </w:r>
    </w:p>
    <w:p>
      <w:pPr>
        <w:pStyle w:val="Heading1"/>
      </w:pPr>
      <w:r>
        <w:t>治理与工具</w:t>
      </w:r>
    </w:p>
    <w:p>
      <w:pPr>
        <w:pStyle w:val="Normal"/>
        <w:numPr>
          <w:ilvl w:val="0"/>
          <w:numId w:val="1"/>
        </w:numPr>
      </w:pPr>
      <w:r>
        <w:t>以工作场景治理体系作为命名、索引、任务卡和工作流的规范入口。</w:t>
      </w:r>
    </w:p>
    <w:p>
      <w:pPr>
        <w:pStyle w:val="Normal"/>
        <w:numPr>
          <w:ilvl w:val="0"/>
          <w:numId w:val="1"/>
        </w:numPr>
      </w:pPr>
      <w:r>
        <w:t>工具覆盖数据查询、浏览器自动化、协作文档同步和 AI 辅助执行；关键工具应配置可验证的回退方案。</w:t>
      </w:r>
    </w:p>
    <w:p>
      <w:pPr>
        <w:pStyle w:val="Heading1"/>
      </w:pPr>
      <w:r>
        <w:t>AI 协作规范</w:t>
      </w:r>
    </w:p>
    <w:p>
      <w:pPr>
        <w:pStyle w:val="Normal"/>
        <w:numPr>
          <w:ilvl w:val="0"/>
          <w:numId w:val="1"/>
        </w:numPr>
      </w:pPr>
      <w:r>
        <w:t>回答应直接、简洁、可核实；不确定的信息应明确标注并按需核实。</w:t>
      </w:r>
    </w:p>
    <w:p>
      <w:pPr>
        <w:pStyle w:val="Normal"/>
        <w:numPr>
          <w:ilvl w:val="0"/>
          <w:numId w:val="1"/>
        </w:numPr>
      </w:pPr>
      <w:r>
        <w:t>涉及时效信息时优先使用一手或官方来源；证据冲突时如实说明不确定性。</w:t>
      </w:r>
    </w:p>
    <w:p>
      <w:pPr>
        <w:pStyle w:val="Normal"/>
        <w:numPr>
          <w:ilvl w:val="0"/>
          <w:numId w:val="1"/>
        </w:numPr>
      </w:pPr>
      <w:r>
        <w:t>默认使用改写，避免大段复制；遵循安全边界，不提供危险或违法行为的可操作指导。</w:t>
      </w:r>
    </w:p>
    <w:p>
      <w:pPr>
        <w:pStyle w:val="Heading1"/>
      </w:pPr>
      <w:r>
        <w:t>公开使用注意</w:t>
      </w:r>
    </w:p>
    <w:p>
      <w:pPr>
        <w:pStyle w:val="Normal"/>
      </w:pPr>
      <w:r>
        <w:t>对外分享时，不应附带内部账号、协作链接、本地目录、业务项目名、商品词、具体经营数字、任务排期或系统访问方式。</w:t>
      </w:r>
    </w:p>
    <w:p>
      <w:pPr>
        <w:pStyle w:val="Heading1"/>
      </w:pPr>
      <w:r>
        <w:t>来源说明</w:t>
      </w:r>
    </w:p>
    <w:p>
      <w:pPr>
        <w:pStyle w:val="Normal"/>
      </w:pPr>
      <w:r>
        <w:t>本摘要基于用户提供的工作手册整理，仅用于概括其通用管理方法；未包含原始文档中的敏感细节。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Subtitle">
    <w:name w:val="Subtitle"/>
    <w:rPr>
      <w:color w:val="666666"/>
      <w:sz w:val="24"/>
    </w:rPr>
  </w:style>
  <w:style w:type="paragraph" w:styleId="Heading1">
    <w:name w:val="heading 1"/>
    <w:rPr>
      <w:b/>
      <w:sz w:val="28"/>
      <w:color w:val="1F4E7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全局工作台工作手册 - 去隐私摘要</dc:title>
  <dc:creator>Codex</dc:creator>
  <dcterms:created xsi:type="dcterms:W3CDTF">2026-07-14T00:00:00Z</dcterms:created>
</cp:coreProperties>
</file>