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D823" w14:textId="1947B18E" w:rsidR="00DC094F" w:rsidRPr="00AA35E0" w:rsidRDefault="00DC094F" w:rsidP="00DC094F">
      <w:pPr>
        <w:pStyle w:val="Title"/>
        <w:rPr>
          <w:rFonts w:ascii="Times New Roman" w:hAnsi="Times New Roman" w:cs="Times New Roman"/>
          <w:sz w:val="24"/>
          <w:szCs w:val="24"/>
        </w:rPr>
      </w:pPr>
      <w:r w:rsidRPr="00AA35E0">
        <w:rPr>
          <w:rFonts w:ascii="Times New Roman" w:hAnsi="Times New Roman" w:cs="Times New Roman"/>
          <w:sz w:val="24"/>
          <w:szCs w:val="24"/>
        </w:rPr>
        <w:t xml:space="preserve">Problem Set </w:t>
      </w:r>
      <w:r w:rsidR="000F5879">
        <w:rPr>
          <w:rFonts w:ascii="Times New Roman" w:hAnsi="Times New Roman" w:cs="Times New Roman"/>
          <w:sz w:val="24"/>
          <w:szCs w:val="24"/>
        </w:rPr>
        <w:t>6</w:t>
      </w:r>
      <w:bookmarkStart w:id="0" w:name="_GoBack"/>
      <w:bookmarkEnd w:id="0"/>
    </w:p>
    <w:p w14:paraId="0A1F93C8" w14:textId="77777777" w:rsidR="00530940" w:rsidRPr="00AA35E0" w:rsidRDefault="00530940" w:rsidP="009D4B1C">
      <w:pPr>
        <w:jc w:val="right"/>
      </w:pPr>
      <w:r w:rsidRPr="00AA35E0">
        <w:t>SeungWha Lee</w:t>
      </w:r>
    </w:p>
    <w:p w14:paraId="787503B2" w14:textId="77777777" w:rsidR="00530940" w:rsidRPr="00AA35E0" w:rsidRDefault="00530940" w:rsidP="009D4B1C">
      <w:pPr>
        <w:jc w:val="right"/>
      </w:pPr>
      <w:r w:rsidRPr="00AA35E0">
        <w:t>Xinyuan Meng</w:t>
      </w:r>
    </w:p>
    <w:p w14:paraId="3C1BABAA" w14:textId="77777777" w:rsidR="00530940" w:rsidRPr="00AA35E0" w:rsidRDefault="00530940" w:rsidP="009D4B1C">
      <w:pPr>
        <w:jc w:val="right"/>
      </w:pPr>
      <w:r w:rsidRPr="00AA35E0">
        <w:t>Boyang Pan</w:t>
      </w:r>
    </w:p>
    <w:p w14:paraId="53C08876" w14:textId="77777777" w:rsidR="00A72D37" w:rsidRPr="00AA35E0" w:rsidRDefault="00A72D37" w:rsidP="00A72D37"/>
    <w:p w14:paraId="4C61F3A0" w14:textId="127C834A" w:rsidR="0070158B" w:rsidRPr="00AA35E0" w:rsidRDefault="00A72D37" w:rsidP="00D53AB7">
      <w:pPr>
        <w:pStyle w:val="ListParagraph"/>
        <w:numPr>
          <w:ilvl w:val="0"/>
          <w:numId w:val="3"/>
        </w:numPr>
        <w:ind w:firstLineChars="0"/>
        <w:rPr>
          <w:rFonts w:ascii="Times New Roman" w:hAnsi="Times New Roman" w:cs="Times New Roman"/>
          <w:sz w:val="24"/>
          <w:szCs w:val="24"/>
        </w:rPr>
      </w:pPr>
      <w:r w:rsidRPr="00AA35E0">
        <w:rPr>
          <w:rFonts w:ascii="Times New Roman" w:hAnsi="Times New Roman" w:cs="Times New Roman"/>
          <w:sz w:val="24"/>
          <w:szCs w:val="24"/>
        </w:rPr>
        <w:t xml:space="preserve">The table below provides the summary statistics on 1-month, 1-month strategy. As we can see, the strategy </w:t>
      </w:r>
      <w:r w:rsidR="00DD67DE" w:rsidRPr="00AA35E0">
        <w:rPr>
          <w:rFonts w:ascii="Times New Roman" w:hAnsi="Times New Roman" w:cs="Times New Roman"/>
          <w:sz w:val="24"/>
          <w:szCs w:val="24"/>
        </w:rPr>
        <w:t>generates a monthly return of approximately 0.</w:t>
      </w:r>
      <w:r w:rsidR="00D379E0" w:rsidRPr="00AA35E0">
        <w:rPr>
          <w:rFonts w:ascii="Times New Roman" w:hAnsi="Times New Roman" w:cs="Times New Roman"/>
          <w:sz w:val="24"/>
          <w:szCs w:val="24"/>
        </w:rPr>
        <w:t>69</w:t>
      </w:r>
      <w:r w:rsidR="00DD67DE" w:rsidRPr="00AA35E0">
        <w:rPr>
          <w:rFonts w:ascii="Times New Roman" w:hAnsi="Times New Roman" w:cs="Times New Roman"/>
          <w:sz w:val="24"/>
          <w:szCs w:val="24"/>
        </w:rPr>
        <w:t>%, and this return is statistically significant.</w:t>
      </w:r>
    </w:p>
    <w:p w14:paraId="064E4609" w14:textId="77777777" w:rsidR="00DD67DE" w:rsidRPr="00AA35E0" w:rsidRDefault="00DD67DE" w:rsidP="00DD67DE">
      <w:pPr>
        <w:pStyle w:val="ListParagraph"/>
        <w:ind w:left="720" w:firstLineChars="0" w:firstLine="0"/>
        <w:rPr>
          <w:rFonts w:ascii="Times New Roman" w:hAnsi="Times New Roman" w:cs="Times New Roman"/>
          <w:sz w:val="24"/>
          <w:szCs w:val="24"/>
        </w:rPr>
      </w:pPr>
    </w:p>
    <w:tbl>
      <w:tblPr>
        <w:tblStyle w:val="TableGrid"/>
        <w:tblW w:w="9755" w:type="dxa"/>
        <w:tblInd w:w="720" w:type="dxa"/>
        <w:tblLook w:val="04A0" w:firstRow="1" w:lastRow="0" w:firstColumn="1" w:lastColumn="0" w:noHBand="0" w:noVBand="1"/>
      </w:tblPr>
      <w:tblGrid>
        <w:gridCol w:w="2368"/>
        <w:gridCol w:w="1851"/>
        <w:gridCol w:w="1851"/>
        <w:gridCol w:w="1851"/>
        <w:gridCol w:w="1834"/>
      </w:tblGrid>
      <w:tr w:rsidR="00A72D37" w:rsidRPr="00AA35E0" w14:paraId="4734C115" w14:textId="77777777" w:rsidTr="00F92798">
        <w:tc>
          <w:tcPr>
            <w:tcW w:w="2368" w:type="dxa"/>
            <w:vAlign w:val="center"/>
          </w:tcPr>
          <w:p w14:paraId="74613721" w14:textId="6CBE533F" w:rsidR="00A72D37" w:rsidRPr="00AA35E0" w:rsidRDefault="00A72D37" w:rsidP="00A72D37">
            <w:pPr>
              <w:pStyle w:val="ListParagraph"/>
              <w:ind w:firstLineChars="0" w:firstLine="0"/>
              <w:jc w:val="center"/>
              <w:rPr>
                <w:rFonts w:ascii="Times New Roman" w:hAnsi="Times New Roman" w:cs="Times New Roman"/>
                <w:sz w:val="24"/>
                <w:szCs w:val="24"/>
              </w:rPr>
            </w:pPr>
          </w:p>
        </w:tc>
        <w:tc>
          <w:tcPr>
            <w:tcW w:w="1851" w:type="dxa"/>
            <w:vAlign w:val="center"/>
          </w:tcPr>
          <w:p w14:paraId="508CDB5B" w14:textId="1BFECFDE" w:rsidR="00A72D37" w:rsidRPr="00AA35E0" w:rsidRDefault="00A72D37" w:rsidP="00A72D3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Time series average return</w:t>
            </w:r>
          </w:p>
        </w:tc>
        <w:tc>
          <w:tcPr>
            <w:tcW w:w="1851" w:type="dxa"/>
            <w:vAlign w:val="center"/>
          </w:tcPr>
          <w:p w14:paraId="07238FB0" w14:textId="15EB1C39" w:rsidR="00A72D37" w:rsidRPr="00AA35E0" w:rsidRDefault="00A72D37" w:rsidP="00A72D3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Standard deviation</w:t>
            </w:r>
          </w:p>
        </w:tc>
        <w:tc>
          <w:tcPr>
            <w:tcW w:w="1851" w:type="dxa"/>
            <w:vAlign w:val="center"/>
          </w:tcPr>
          <w:p w14:paraId="46C82154" w14:textId="1A17339B" w:rsidR="00A72D37" w:rsidRPr="00AA35E0" w:rsidRDefault="00A72D37" w:rsidP="00A72D3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t-statistic</w:t>
            </w:r>
          </w:p>
        </w:tc>
        <w:tc>
          <w:tcPr>
            <w:tcW w:w="1834" w:type="dxa"/>
            <w:vAlign w:val="center"/>
          </w:tcPr>
          <w:p w14:paraId="06B3633E" w14:textId="1BFFB0BC" w:rsidR="00A72D37" w:rsidRPr="00AA35E0" w:rsidRDefault="00A72D37" w:rsidP="00A72D3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Annualized Sharpe Ratio</w:t>
            </w:r>
          </w:p>
        </w:tc>
      </w:tr>
      <w:tr w:rsidR="00A72D37" w:rsidRPr="00AA35E0" w14:paraId="3D2C6F80" w14:textId="77777777" w:rsidTr="00F92798">
        <w:tc>
          <w:tcPr>
            <w:tcW w:w="2368" w:type="dxa"/>
            <w:vAlign w:val="center"/>
          </w:tcPr>
          <w:p w14:paraId="4DE02B01" w14:textId="02752779" w:rsidR="00A72D37" w:rsidRPr="00AA35E0" w:rsidRDefault="00A72D37" w:rsidP="00A72D3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 month, 1- month momentum portfolio</w:t>
            </w:r>
          </w:p>
        </w:tc>
        <w:tc>
          <w:tcPr>
            <w:tcW w:w="1851" w:type="dxa"/>
            <w:vAlign w:val="center"/>
          </w:tcPr>
          <w:p w14:paraId="16B3BDE2" w14:textId="28D081B4" w:rsidR="00A72D37" w:rsidRPr="00AA35E0" w:rsidRDefault="00A72D37" w:rsidP="00A72D3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0.6936</w:t>
            </w:r>
          </w:p>
        </w:tc>
        <w:tc>
          <w:tcPr>
            <w:tcW w:w="1851" w:type="dxa"/>
            <w:vAlign w:val="center"/>
          </w:tcPr>
          <w:p w14:paraId="51992270" w14:textId="77A67066" w:rsidR="00A72D37" w:rsidRPr="00AA35E0" w:rsidRDefault="00A72D37" w:rsidP="00A72D3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5.4477</w:t>
            </w:r>
          </w:p>
        </w:tc>
        <w:tc>
          <w:tcPr>
            <w:tcW w:w="1851" w:type="dxa"/>
            <w:vAlign w:val="center"/>
          </w:tcPr>
          <w:p w14:paraId="70A30A40" w14:textId="7A4C0643" w:rsidR="00A72D37" w:rsidRPr="00AA35E0" w:rsidRDefault="00A72D37" w:rsidP="00A72D3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4.1919</w:t>
            </w:r>
          </w:p>
        </w:tc>
        <w:tc>
          <w:tcPr>
            <w:tcW w:w="1834" w:type="dxa"/>
            <w:vAlign w:val="center"/>
          </w:tcPr>
          <w:p w14:paraId="0DE8EDEF" w14:textId="4FF8B5DB" w:rsidR="00A72D37" w:rsidRPr="00AA35E0" w:rsidRDefault="00A72D37" w:rsidP="00DD67DE">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w:t>
            </w:r>
            <w:r w:rsidR="00DD67DE" w:rsidRPr="00AA35E0">
              <w:rPr>
                <w:rFonts w:ascii="Times New Roman" w:hAnsi="Times New Roman" w:cs="Times New Roman"/>
                <w:sz w:val="24"/>
                <w:szCs w:val="24"/>
              </w:rPr>
              <w:t>4411</w:t>
            </w:r>
          </w:p>
        </w:tc>
      </w:tr>
    </w:tbl>
    <w:p w14:paraId="1DB62597" w14:textId="77777777" w:rsidR="00A72D37" w:rsidRPr="00AA35E0" w:rsidRDefault="00A72D37" w:rsidP="00A72D37">
      <w:pPr>
        <w:pStyle w:val="ListParagraph"/>
        <w:ind w:left="720" w:firstLineChars="0" w:firstLine="0"/>
        <w:rPr>
          <w:rFonts w:ascii="Times New Roman" w:hAnsi="Times New Roman" w:cs="Times New Roman"/>
          <w:sz w:val="24"/>
          <w:szCs w:val="24"/>
        </w:rPr>
      </w:pPr>
    </w:p>
    <w:p w14:paraId="053BE705" w14:textId="200093EE" w:rsidR="0070158B" w:rsidRPr="00AA35E0" w:rsidRDefault="000A5ADC" w:rsidP="00D53AB7">
      <w:pPr>
        <w:pStyle w:val="ListParagraph"/>
        <w:numPr>
          <w:ilvl w:val="0"/>
          <w:numId w:val="3"/>
        </w:numPr>
        <w:ind w:firstLineChars="0"/>
        <w:rPr>
          <w:rFonts w:ascii="Times New Roman" w:hAnsi="Times New Roman" w:cs="Times New Roman"/>
          <w:sz w:val="24"/>
          <w:szCs w:val="24"/>
        </w:rPr>
      </w:pPr>
      <w:r w:rsidRPr="00AA35E0">
        <w:rPr>
          <w:rFonts w:ascii="Times New Roman" w:hAnsi="Times New Roman" w:cs="Times New Roman"/>
          <w:sz w:val="24"/>
          <w:szCs w:val="24"/>
        </w:rPr>
        <w:t xml:space="preserve">The first component: </w:t>
      </w:r>
      <m:oMath>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μ</m:t>
            </m:r>
          </m:sub>
          <m:sup>
            <m:r>
              <w:rPr>
                <w:rFonts w:ascii="Cambria Math" w:hAnsi="Cambria Math" w:cs="Times New Roman"/>
                <w:sz w:val="24"/>
                <w:szCs w:val="24"/>
              </w:rPr>
              <m:t>2</m:t>
            </m:r>
          </m:sup>
        </m:sSubSup>
        <m:r>
          <w:rPr>
            <w:rFonts w:ascii="Cambria Math" w:hAnsi="Cambria Math" w:cs="Times New Roman"/>
            <w:sz w:val="24"/>
            <w:szCs w:val="24"/>
          </w:rPr>
          <m:t>=</m:t>
        </m:r>
      </m:oMath>
      <w:r w:rsidRPr="00AA35E0">
        <w:rPr>
          <w:rFonts w:ascii="Times New Roman" w:hAnsi="Times New Roman" w:cs="Times New Roman"/>
          <w:sz w:val="24"/>
          <w:szCs w:val="24"/>
        </w:rPr>
        <w:t>0.0122</w:t>
      </w:r>
    </w:p>
    <w:p w14:paraId="5B4FF6D5" w14:textId="7C1EEFD2" w:rsidR="000A5ADC" w:rsidRPr="00AA35E0" w:rsidRDefault="000A5ADC" w:rsidP="000A5ADC">
      <w:pPr>
        <w:pStyle w:val="ListParagraph"/>
        <w:ind w:left="720" w:firstLineChars="0" w:firstLine="0"/>
        <w:rPr>
          <w:rFonts w:ascii="Times New Roman" w:hAnsi="Times New Roman" w:cs="Times New Roman"/>
          <w:sz w:val="24"/>
          <w:szCs w:val="24"/>
        </w:rPr>
      </w:pPr>
      <w:r w:rsidRPr="00AA35E0">
        <w:rPr>
          <w:rFonts w:ascii="Times New Roman" w:hAnsi="Times New Roman" w:cs="Times New Roman"/>
          <w:sz w:val="24"/>
          <w:szCs w:val="24"/>
        </w:rPr>
        <w:t xml:space="preserve">The second component: </w:t>
      </w:r>
      <m:oMath>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β</m:t>
            </m:r>
          </m:sub>
          <m:sup>
            <m:r>
              <w:rPr>
                <w:rFonts w:ascii="Cambria Math" w:hAnsi="Cambria Math" w:cs="Times New Roman"/>
                <w:sz w:val="24"/>
                <w:szCs w:val="24"/>
              </w:rPr>
              <m:t>2</m:t>
            </m:r>
          </m:sup>
        </m:sSubSup>
        <m:r>
          <w:rPr>
            <w:rFonts w:ascii="Cambria Math" w:hAnsi="Cambria Math" w:cs="Times New Roman"/>
            <w:sz w:val="24"/>
            <w:szCs w:val="24"/>
          </w:rPr>
          <m:t>cov</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e>
            </m:acc>
          </m:e>
        </m:d>
        <m:r>
          <w:rPr>
            <w:rFonts w:ascii="Cambria Math" w:hAnsi="Cambria Math" w:cs="Times New Roman"/>
            <w:sz w:val="24"/>
            <w:szCs w:val="24"/>
          </w:rPr>
          <m:t>=</m:t>
        </m:r>
      </m:oMath>
      <w:r w:rsidRPr="00AA35E0">
        <w:rPr>
          <w:rFonts w:ascii="Times New Roman" w:hAnsi="Times New Roman" w:cs="Times New Roman"/>
          <w:sz w:val="24"/>
          <w:szCs w:val="24"/>
        </w:rPr>
        <w:t>0.1337</w:t>
      </w:r>
    </w:p>
    <w:p w14:paraId="2E0D46F4" w14:textId="7290C269" w:rsidR="000A5ADC" w:rsidRPr="00AA35E0" w:rsidRDefault="000A5ADC" w:rsidP="000A5ADC">
      <w:pPr>
        <w:pStyle w:val="ListParagraph"/>
        <w:ind w:left="720" w:firstLineChars="0" w:firstLine="0"/>
        <w:rPr>
          <w:rFonts w:ascii="Times New Roman" w:hAnsi="Times New Roman" w:cs="Times New Roman"/>
          <w:sz w:val="24"/>
          <w:szCs w:val="24"/>
        </w:rPr>
      </w:pPr>
      <w:r w:rsidRPr="00AA35E0">
        <w:rPr>
          <w:rFonts w:ascii="Times New Roman" w:hAnsi="Times New Roman" w:cs="Times New Roman"/>
          <w:sz w:val="24"/>
          <w:szCs w:val="24"/>
        </w:rPr>
        <w:t xml:space="preserve">The third component: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N</m:t>
            </m:r>
          </m:den>
        </m:f>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j,t-1</m:t>
                    </m:r>
                  </m:sub>
                </m:sSub>
              </m:e>
            </m:d>
            <m:r>
              <w:rPr>
                <w:rFonts w:ascii="Cambria Math" w:hAnsi="Cambria Math" w:cs="Times New Roman"/>
                <w:sz w:val="24"/>
                <w:szCs w:val="24"/>
              </w:rPr>
              <m:t>=</m:t>
            </m:r>
          </m:e>
        </m:nary>
      </m:oMath>
      <w:r w:rsidRPr="00AA35E0">
        <w:rPr>
          <w:rFonts w:ascii="Times New Roman" w:hAnsi="Times New Roman" w:cs="Times New Roman"/>
          <w:sz w:val="24"/>
          <w:szCs w:val="24"/>
        </w:rPr>
        <w:t>0.6351</w:t>
      </w:r>
    </w:p>
    <w:p w14:paraId="79DE71FC" w14:textId="2DD47D75" w:rsidR="000948DC" w:rsidRPr="00AA35E0" w:rsidRDefault="00B8210C" w:rsidP="00DD67DE">
      <w:pPr>
        <w:pStyle w:val="ListParagraph"/>
        <w:ind w:left="720" w:firstLineChars="0" w:firstLine="0"/>
        <w:rPr>
          <w:rFonts w:ascii="Times New Roman" w:hAnsi="Times New Roman" w:cs="Times New Roman"/>
          <w:sz w:val="24"/>
          <w:szCs w:val="24"/>
        </w:rPr>
      </w:pPr>
      <w:r w:rsidRPr="00AA35E0">
        <w:rPr>
          <w:rFonts w:ascii="Times New Roman" w:hAnsi="Times New Roman" w:cs="Times New Roman"/>
          <w:sz w:val="24"/>
          <w:szCs w:val="24"/>
        </w:rPr>
        <w:t xml:space="preserve">The third component </w:t>
      </w:r>
      <w:r w:rsidR="00DD67DE" w:rsidRPr="00AA35E0">
        <w:rPr>
          <w:rFonts w:ascii="Times New Roman" w:hAnsi="Times New Roman" w:cs="Times New Roman"/>
          <w:sz w:val="24"/>
          <w:szCs w:val="24"/>
        </w:rPr>
        <w:t xml:space="preserve">contributes approximately </w:t>
      </w:r>
      <m:oMath>
        <m:f>
          <m:fPr>
            <m:ctrlPr>
              <w:rPr>
                <w:rFonts w:ascii="Cambria Math" w:hAnsi="Cambria Math" w:cs="Times New Roman"/>
                <w:sz w:val="24"/>
                <w:szCs w:val="24"/>
              </w:rPr>
            </m:ctrlPr>
          </m:fPr>
          <m:num>
            <m:r>
              <w:rPr>
                <w:rFonts w:ascii="Cambria Math" w:hAnsi="Cambria Math" w:cs="Times New Roman"/>
                <w:sz w:val="24"/>
                <w:szCs w:val="24"/>
              </w:rPr>
              <m:t>0.6361</m:t>
            </m:r>
          </m:num>
          <m:den>
            <m:r>
              <w:rPr>
                <w:rFonts w:ascii="Cambria Math" w:hAnsi="Cambria Math" w:cs="Times New Roman"/>
                <w:sz w:val="24"/>
                <w:szCs w:val="24"/>
              </w:rPr>
              <m:t>0.0122+0.1337+0.6351</m:t>
            </m:r>
          </m:den>
        </m:f>
        <m:r>
          <w:rPr>
            <w:rFonts w:ascii="Cambria Math" w:hAnsi="Cambria Math" w:cs="Times New Roman"/>
            <w:sz w:val="24"/>
            <w:szCs w:val="24"/>
          </w:rPr>
          <m:t>≈81.45%</m:t>
        </m:r>
      </m:oMath>
      <w:r w:rsidR="00DD67DE" w:rsidRPr="00AA35E0">
        <w:rPr>
          <w:rFonts w:ascii="Times New Roman" w:hAnsi="Times New Roman" w:cs="Times New Roman"/>
          <w:sz w:val="24"/>
          <w:szCs w:val="24"/>
        </w:rPr>
        <w:t xml:space="preserve"> of the variation in </w:t>
      </w:r>
      <w:r w:rsidRPr="00AA35E0">
        <w:rPr>
          <w:rFonts w:ascii="Times New Roman" w:hAnsi="Times New Roman" w:cs="Times New Roman"/>
          <w:sz w:val="24"/>
          <w:szCs w:val="24"/>
        </w:rPr>
        <w:t>momentum profits</w:t>
      </w:r>
      <w:r w:rsidR="00DD67DE" w:rsidRPr="00AA35E0">
        <w:rPr>
          <w:rFonts w:ascii="Times New Roman" w:hAnsi="Times New Roman" w:cs="Times New Roman"/>
          <w:sz w:val="24"/>
          <w:szCs w:val="24"/>
        </w:rPr>
        <w:t>.</w:t>
      </w:r>
      <w:r w:rsidRPr="00AA35E0">
        <w:rPr>
          <w:rFonts w:ascii="Times New Roman" w:hAnsi="Times New Roman" w:cs="Times New Roman"/>
          <w:sz w:val="24"/>
          <w:szCs w:val="24"/>
        </w:rPr>
        <w:t xml:space="preserve"> </w:t>
      </w:r>
      <w:r w:rsidR="00DD67DE" w:rsidRPr="00A4372D">
        <w:rPr>
          <w:rFonts w:ascii="Times New Roman" w:hAnsi="Times New Roman" w:cs="Times New Roman"/>
          <w:sz w:val="24"/>
          <w:szCs w:val="24"/>
        </w:rPr>
        <w:t xml:space="preserve">This implies </w:t>
      </w:r>
      <w:r w:rsidRPr="00A4372D">
        <w:rPr>
          <w:rFonts w:ascii="Times New Roman" w:hAnsi="Times New Roman" w:cs="Times New Roman"/>
          <w:sz w:val="24"/>
          <w:szCs w:val="24"/>
        </w:rPr>
        <w:t xml:space="preserve">that CAPM can </w:t>
      </w:r>
      <w:r w:rsidR="00A4372D" w:rsidRPr="00A4372D">
        <w:rPr>
          <w:rFonts w:ascii="Times New Roman" w:hAnsi="Times New Roman" w:cs="Times New Roman"/>
          <w:sz w:val="24"/>
          <w:szCs w:val="24"/>
        </w:rPr>
        <w:t xml:space="preserve">only </w:t>
      </w:r>
      <w:r w:rsidRPr="00A4372D">
        <w:rPr>
          <w:rFonts w:ascii="Times New Roman" w:hAnsi="Times New Roman" w:cs="Times New Roman"/>
          <w:sz w:val="24"/>
          <w:szCs w:val="24"/>
        </w:rPr>
        <w:t>explain little variation in the momentum portfolio.</w:t>
      </w:r>
      <w:r w:rsidR="00DD67DE" w:rsidRPr="00AA35E0">
        <w:rPr>
          <w:rFonts w:ascii="Times New Roman" w:hAnsi="Times New Roman" w:cs="Times New Roman"/>
          <w:sz w:val="24"/>
          <w:szCs w:val="24"/>
        </w:rPr>
        <w:t xml:space="preserve"> </w:t>
      </w:r>
    </w:p>
    <w:p w14:paraId="509032B8" w14:textId="77777777" w:rsidR="00DD67DE" w:rsidRPr="00AA35E0" w:rsidRDefault="00DD67DE" w:rsidP="00DD67DE">
      <w:pPr>
        <w:pStyle w:val="ListParagraph"/>
        <w:ind w:left="720" w:firstLineChars="0" w:firstLine="0"/>
        <w:rPr>
          <w:rFonts w:ascii="Times New Roman" w:hAnsi="Times New Roman" w:cs="Times New Roman"/>
          <w:sz w:val="24"/>
          <w:szCs w:val="24"/>
        </w:rPr>
      </w:pPr>
    </w:p>
    <w:p w14:paraId="5D75BEEA" w14:textId="3723DBD9" w:rsidR="00DD67DE" w:rsidRPr="00AA35E0" w:rsidRDefault="00DD67DE" w:rsidP="00DD67DE">
      <w:pPr>
        <w:pStyle w:val="ListParagraph"/>
        <w:numPr>
          <w:ilvl w:val="0"/>
          <w:numId w:val="3"/>
        </w:numPr>
        <w:ind w:firstLineChars="0"/>
        <w:rPr>
          <w:rFonts w:ascii="Times New Roman" w:hAnsi="Times New Roman" w:cs="Times New Roman"/>
          <w:sz w:val="24"/>
          <w:szCs w:val="24"/>
        </w:rPr>
      </w:pPr>
      <w:r w:rsidRPr="00AA35E0">
        <w:rPr>
          <w:rFonts w:ascii="Times New Roman" w:hAnsi="Times New Roman" w:cs="Times New Roman"/>
          <w:sz w:val="24"/>
          <w:szCs w:val="24"/>
        </w:rPr>
        <w:t xml:space="preserve">The table below provides the summary statistics on </w:t>
      </w:r>
      <w:r w:rsidR="00D379E0" w:rsidRPr="00AA35E0">
        <w:rPr>
          <w:rFonts w:ascii="Times New Roman" w:hAnsi="Times New Roman" w:cs="Times New Roman"/>
          <w:sz w:val="24"/>
          <w:szCs w:val="24"/>
        </w:rPr>
        <w:t>12</w:t>
      </w:r>
      <w:r w:rsidRPr="00AA35E0">
        <w:rPr>
          <w:rFonts w:ascii="Times New Roman" w:hAnsi="Times New Roman" w:cs="Times New Roman"/>
          <w:sz w:val="24"/>
          <w:szCs w:val="24"/>
        </w:rPr>
        <w:t>-month, 1-month strategy. As we can see, the strategy generates a monthly return of approximately 0.</w:t>
      </w:r>
      <w:r w:rsidR="00D379E0" w:rsidRPr="00AA35E0">
        <w:rPr>
          <w:rFonts w:ascii="Times New Roman" w:hAnsi="Times New Roman" w:cs="Times New Roman"/>
          <w:sz w:val="24"/>
          <w:szCs w:val="24"/>
        </w:rPr>
        <w:t>86</w:t>
      </w:r>
      <w:r w:rsidRPr="00AA35E0">
        <w:rPr>
          <w:rFonts w:ascii="Times New Roman" w:hAnsi="Times New Roman" w:cs="Times New Roman"/>
          <w:sz w:val="24"/>
          <w:szCs w:val="24"/>
        </w:rPr>
        <w:t>%, and this return is statistically significant.</w:t>
      </w:r>
    </w:p>
    <w:p w14:paraId="27DDC896" w14:textId="710D0B9B" w:rsidR="000948DC" w:rsidRPr="00AA35E0" w:rsidRDefault="000948DC" w:rsidP="00DD67DE"/>
    <w:tbl>
      <w:tblPr>
        <w:tblStyle w:val="TableGrid"/>
        <w:tblW w:w="9755" w:type="dxa"/>
        <w:tblInd w:w="720" w:type="dxa"/>
        <w:tblLook w:val="04A0" w:firstRow="1" w:lastRow="0" w:firstColumn="1" w:lastColumn="0" w:noHBand="0" w:noVBand="1"/>
      </w:tblPr>
      <w:tblGrid>
        <w:gridCol w:w="2368"/>
        <w:gridCol w:w="1851"/>
        <w:gridCol w:w="1851"/>
        <w:gridCol w:w="1851"/>
        <w:gridCol w:w="1834"/>
      </w:tblGrid>
      <w:tr w:rsidR="00D379E0" w:rsidRPr="00AA35E0" w14:paraId="41AA8999" w14:textId="77777777" w:rsidTr="00F92798">
        <w:tc>
          <w:tcPr>
            <w:tcW w:w="2368" w:type="dxa"/>
            <w:vAlign w:val="center"/>
          </w:tcPr>
          <w:p w14:paraId="1C8339E3" w14:textId="77777777" w:rsidR="00D379E0" w:rsidRPr="00AA35E0" w:rsidRDefault="00D379E0" w:rsidP="00D379E0">
            <w:pPr>
              <w:pStyle w:val="ListParagraph"/>
              <w:ind w:firstLineChars="0" w:firstLine="0"/>
              <w:jc w:val="center"/>
              <w:rPr>
                <w:rFonts w:ascii="Times New Roman" w:hAnsi="Times New Roman" w:cs="Times New Roman"/>
                <w:sz w:val="24"/>
                <w:szCs w:val="24"/>
              </w:rPr>
            </w:pPr>
          </w:p>
        </w:tc>
        <w:tc>
          <w:tcPr>
            <w:tcW w:w="1851" w:type="dxa"/>
            <w:vAlign w:val="center"/>
          </w:tcPr>
          <w:p w14:paraId="7150879D" w14:textId="77777777"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Time series average return</w:t>
            </w:r>
          </w:p>
        </w:tc>
        <w:tc>
          <w:tcPr>
            <w:tcW w:w="1851" w:type="dxa"/>
            <w:vAlign w:val="center"/>
          </w:tcPr>
          <w:p w14:paraId="1FF2A2AB" w14:textId="1E93C9B8"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Standard deviation</w:t>
            </w:r>
          </w:p>
        </w:tc>
        <w:tc>
          <w:tcPr>
            <w:tcW w:w="1851" w:type="dxa"/>
            <w:vAlign w:val="center"/>
          </w:tcPr>
          <w:p w14:paraId="396F7D2F" w14:textId="78A2FDE1"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t-statistic</w:t>
            </w:r>
          </w:p>
        </w:tc>
        <w:tc>
          <w:tcPr>
            <w:tcW w:w="1834" w:type="dxa"/>
            <w:vAlign w:val="center"/>
          </w:tcPr>
          <w:p w14:paraId="05224454" w14:textId="77777777"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Annualized Sharpe Ratio</w:t>
            </w:r>
          </w:p>
        </w:tc>
      </w:tr>
      <w:tr w:rsidR="00D379E0" w:rsidRPr="00AA35E0" w14:paraId="34D20232" w14:textId="77777777" w:rsidTr="00F92798">
        <w:tc>
          <w:tcPr>
            <w:tcW w:w="2368" w:type="dxa"/>
            <w:vAlign w:val="center"/>
          </w:tcPr>
          <w:p w14:paraId="466D7737" w14:textId="71D49328"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12- month, 1- month momentum portfolio</w:t>
            </w:r>
          </w:p>
        </w:tc>
        <w:tc>
          <w:tcPr>
            <w:tcW w:w="1851" w:type="dxa"/>
            <w:vAlign w:val="center"/>
          </w:tcPr>
          <w:p w14:paraId="70836181" w14:textId="61E2FFE7"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0.8583</w:t>
            </w:r>
          </w:p>
        </w:tc>
        <w:tc>
          <w:tcPr>
            <w:tcW w:w="1851" w:type="dxa"/>
            <w:vAlign w:val="center"/>
          </w:tcPr>
          <w:p w14:paraId="3D4F1A53" w14:textId="26AE5330"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6.1310</w:t>
            </w:r>
          </w:p>
        </w:tc>
        <w:tc>
          <w:tcPr>
            <w:tcW w:w="1851" w:type="dxa"/>
            <w:vAlign w:val="center"/>
          </w:tcPr>
          <w:p w14:paraId="7B407A9C" w14:textId="3A572C66"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4.5857</w:t>
            </w:r>
          </w:p>
        </w:tc>
        <w:tc>
          <w:tcPr>
            <w:tcW w:w="1834" w:type="dxa"/>
            <w:vAlign w:val="center"/>
          </w:tcPr>
          <w:p w14:paraId="73ACB079" w14:textId="094FA97F"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0.4850</w:t>
            </w:r>
          </w:p>
        </w:tc>
      </w:tr>
    </w:tbl>
    <w:p w14:paraId="5983E449" w14:textId="77777777" w:rsidR="007C4244" w:rsidRPr="00AA35E0" w:rsidRDefault="007C4244" w:rsidP="007C4244">
      <w:pPr>
        <w:pStyle w:val="ListParagraph"/>
        <w:ind w:left="720" w:firstLineChars="0" w:firstLine="0"/>
        <w:rPr>
          <w:rFonts w:ascii="Times New Roman" w:hAnsi="Times New Roman" w:cs="Times New Roman"/>
          <w:sz w:val="24"/>
          <w:szCs w:val="24"/>
        </w:rPr>
      </w:pPr>
    </w:p>
    <w:p w14:paraId="7F1D373B" w14:textId="510C08DD" w:rsidR="00D379E0" w:rsidRPr="00AA35E0" w:rsidRDefault="00D379E0" w:rsidP="00D379E0">
      <w:pPr>
        <w:pStyle w:val="ListParagraph"/>
        <w:numPr>
          <w:ilvl w:val="0"/>
          <w:numId w:val="3"/>
        </w:numPr>
        <w:ind w:firstLineChars="0"/>
        <w:rPr>
          <w:rFonts w:ascii="Times New Roman" w:hAnsi="Times New Roman" w:cs="Times New Roman"/>
          <w:sz w:val="24"/>
          <w:szCs w:val="24"/>
        </w:rPr>
      </w:pPr>
      <w:r w:rsidRPr="00AA35E0">
        <w:rPr>
          <w:rFonts w:ascii="Times New Roman" w:hAnsi="Times New Roman" w:cs="Times New Roman"/>
          <w:sz w:val="24"/>
          <w:szCs w:val="24"/>
        </w:rPr>
        <w:t>The table below provides the summary statistics on 12-month, 1-month strategy, skipping the first month. As we can see, the strategy generates a monthly return of approximately 0.93%, and this return is statistically significant.</w:t>
      </w:r>
    </w:p>
    <w:p w14:paraId="570C4E97" w14:textId="7FE8EEB9" w:rsidR="00890D35" w:rsidRPr="00AA35E0" w:rsidRDefault="00890D35" w:rsidP="00D379E0"/>
    <w:tbl>
      <w:tblPr>
        <w:tblStyle w:val="TableGrid"/>
        <w:tblW w:w="9991" w:type="dxa"/>
        <w:tblInd w:w="720" w:type="dxa"/>
        <w:tblLook w:val="04A0" w:firstRow="1" w:lastRow="0" w:firstColumn="1" w:lastColumn="0" w:noHBand="0" w:noVBand="1"/>
      </w:tblPr>
      <w:tblGrid>
        <w:gridCol w:w="2368"/>
        <w:gridCol w:w="1851"/>
        <w:gridCol w:w="2087"/>
        <w:gridCol w:w="1851"/>
        <w:gridCol w:w="1834"/>
      </w:tblGrid>
      <w:tr w:rsidR="00D379E0" w:rsidRPr="00AA35E0" w14:paraId="228BF618" w14:textId="77777777" w:rsidTr="006243B2">
        <w:tc>
          <w:tcPr>
            <w:tcW w:w="2368" w:type="dxa"/>
            <w:vAlign w:val="center"/>
          </w:tcPr>
          <w:p w14:paraId="4425CF04" w14:textId="77777777" w:rsidR="00D379E0" w:rsidRPr="00AA35E0" w:rsidRDefault="00D379E0" w:rsidP="00D379E0">
            <w:pPr>
              <w:pStyle w:val="ListParagraph"/>
              <w:ind w:firstLineChars="0" w:firstLine="0"/>
              <w:jc w:val="center"/>
              <w:rPr>
                <w:rFonts w:ascii="Times New Roman" w:hAnsi="Times New Roman" w:cs="Times New Roman"/>
                <w:sz w:val="24"/>
                <w:szCs w:val="24"/>
              </w:rPr>
            </w:pPr>
          </w:p>
        </w:tc>
        <w:tc>
          <w:tcPr>
            <w:tcW w:w="1851" w:type="dxa"/>
            <w:vAlign w:val="center"/>
          </w:tcPr>
          <w:p w14:paraId="7983A790" w14:textId="77777777"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Time series average return</w:t>
            </w:r>
          </w:p>
        </w:tc>
        <w:tc>
          <w:tcPr>
            <w:tcW w:w="2087" w:type="dxa"/>
            <w:vAlign w:val="center"/>
          </w:tcPr>
          <w:p w14:paraId="6947884D" w14:textId="4EA2B07A"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Standard deviation</w:t>
            </w:r>
          </w:p>
        </w:tc>
        <w:tc>
          <w:tcPr>
            <w:tcW w:w="1851" w:type="dxa"/>
            <w:vAlign w:val="center"/>
          </w:tcPr>
          <w:p w14:paraId="4AC03AB8" w14:textId="0A6895CD"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t-statistic</w:t>
            </w:r>
          </w:p>
        </w:tc>
        <w:tc>
          <w:tcPr>
            <w:tcW w:w="1834" w:type="dxa"/>
            <w:vAlign w:val="center"/>
          </w:tcPr>
          <w:p w14:paraId="4B9984FA" w14:textId="77777777"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Annualized Sharpe Ratio</w:t>
            </w:r>
          </w:p>
        </w:tc>
      </w:tr>
      <w:tr w:rsidR="00D379E0" w:rsidRPr="00AA35E0" w14:paraId="3A15CFC7" w14:textId="77777777" w:rsidTr="006243B2">
        <w:tc>
          <w:tcPr>
            <w:tcW w:w="2368" w:type="dxa"/>
            <w:vAlign w:val="center"/>
          </w:tcPr>
          <w:p w14:paraId="6E6CBE0C" w14:textId="2B79284E"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12- month, 1- month momentum portfolio (skip a month)</w:t>
            </w:r>
          </w:p>
        </w:tc>
        <w:tc>
          <w:tcPr>
            <w:tcW w:w="1851" w:type="dxa"/>
            <w:vAlign w:val="center"/>
          </w:tcPr>
          <w:p w14:paraId="5CC3CF90" w14:textId="0AEC77BA"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0.9284</w:t>
            </w:r>
          </w:p>
        </w:tc>
        <w:tc>
          <w:tcPr>
            <w:tcW w:w="2087" w:type="dxa"/>
            <w:vAlign w:val="center"/>
          </w:tcPr>
          <w:p w14:paraId="0550F973" w14:textId="52590CB0"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6.1110</w:t>
            </w:r>
          </w:p>
        </w:tc>
        <w:tc>
          <w:tcPr>
            <w:tcW w:w="1851" w:type="dxa"/>
            <w:vAlign w:val="center"/>
          </w:tcPr>
          <w:p w14:paraId="5EFEB53B" w14:textId="7844DFF7"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4.9765</w:t>
            </w:r>
          </w:p>
        </w:tc>
        <w:tc>
          <w:tcPr>
            <w:tcW w:w="1834" w:type="dxa"/>
            <w:vAlign w:val="center"/>
          </w:tcPr>
          <w:p w14:paraId="6C7B842E" w14:textId="27AEE20C" w:rsidR="00D379E0" w:rsidRPr="00AA35E0" w:rsidRDefault="00D379E0" w:rsidP="00D379E0">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0.5263</w:t>
            </w:r>
          </w:p>
        </w:tc>
      </w:tr>
    </w:tbl>
    <w:p w14:paraId="3E85892E" w14:textId="23EC7E75" w:rsidR="00BD041B" w:rsidRPr="00AA35E0" w:rsidRDefault="00BD041B" w:rsidP="00BD041B">
      <w:pPr>
        <w:pStyle w:val="ListParagraph"/>
        <w:ind w:left="720" w:firstLineChars="0" w:firstLine="0"/>
        <w:rPr>
          <w:rFonts w:ascii="Times New Roman" w:hAnsi="Times New Roman" w:cs="Times New Roman"/>
          <w:sz w:val="24"/>
          <w:szCs w:val="24"/>
        </w:rPr>
      </w:pPr>
    </w:p>
    <w:p w14:paraId="673AFAFA" w14:textId="695B3815" w:rsidR="00BD041B" w:rsidRPr="00AA35E0" w:rsidRDefault="003C02C4" w:rsidP="003C02C4">
      <w:pPr>
        <w:rPr>
          <w:rFonts w:eastAsiaTheme="minorEastAsia"/>
          <w:kern w:val="2"/>
        </w:rPr>
      </w:pPr>
      <w:r w:rsidRPr="00AA35E0">
        <w:br w:type="page"/>
      </w:r>
    </w:p>
    <w:p w14:paraId="6A73FC60" w14:textId="2015199E" w:rsidR="003C02C4" w:rsidRPr="00AA35E0" w:rsidRDefault="00D379E0" w:rsidP="003C02C4">
      <w:pPr>
        <w:pStyle w:val="ListParagraph"/>
        <w:numPr>
          <w:ilvl w:val="0"/>
          <w:numId w:val="3"/>
        </w:numPr>
        <w:ind w:firstLineChars="0"/>
        <w:rPr>
          <w:rFonts w:ascii="Times New Roman" w:hAnsi="Times New Roman" w:cs="Times New Roman"/>
          <w:sz w:val="24"/>
          <w:szCs w:val="24"/>
        </w:rPr>
      </w:pPr>
      <w:r w:rsidRPr="00AA35E0">
        <w:rPr>
          <w:rFonts w:ascii="Times New Roman" w:hAnsi="Times New Roman" w:cs="Times New Roman"/>
          <w:sz w:val="24"/>
          <w:szCs w:val="24"/>
        </w:rPr>
        <w:lastRenderedPageBreak/>
        <w:t xml:space="preserve">Below table summarizes </w:t>
      </w:r>
      <w:r w:rsidR="003C02C4" w:rsidRPr="00AA35E0">
        <w:rPr>
          <w:rFonts w:ascii="Times New Roman" w:hAnsi="Times New Roman" w:cs="Times New Roman"/>
          <w:sz w:val="24"/>
          <w:szCs w:val="24"/>
        </w:rPr>
        <w:t xml:space="preserve">the regression results. As we can see, in all three cases, we observe a statistically and economically significant </w:t>
      </w:r>
      <m:oMath>
        <m:r>
          <m:rPr>
            <m:sty m:val="b"/>
          </m:rPr>
          <w:rPr>
            <w:rFonts w:ascii="Cambria Math" w:hAnsi="Cambria Math" w:cs="Times New Roman"/>
            <w:sz w:val="24"/>
            <w:szCs w:val="24"/>
          </w:rPr>
          <m:t>α</m:t>
        </m:r>
      </m:oMath>
      <w:r w:rsidR="003C02C4" w:rsidRPr="00AA35E0">
        <w:rPr>
          <w:rFonts w:ascii="Times New Roman" w:hAnsi="Times New Roman" w:cs="Times New Roman"/>
          <w:b/>
          <w:sz w:val="24"/>
          <w:szCs w:val="24"/>
        </w:rPr>
        <w:t xml:space="preserve">. </w:t>
      </w:r>
      <w:r w:rsidR="003C02C4" w:rsidRPr="00AA35E0">
        <w:rPr>
          <w:rFonts w:ascii="Times New Roman" w:hAnsi="Times New Roman" w:cs="Times New Roman"/>
          <w:sz w:val="24"/>
          <w:szCs w:val="24"/>
        </w:rPr>
        <w:t>This indicates that Fama-French 3-factor model fails to capture the abnormal return achieved through the momentum strategy.</w:t>
      </w:r>
    </w:p>
    <w:p w14:paraId="6B836B3F" w14:textId="77777777" w:rsidR="003C02C4" w:rsidRPr="00AA35E0" w:rsidRDefault="003C02C4" w:rsidP="003C02C4">
      <w:pPr>
        <w:pStyle w:val="ListParagraph"/>
        <w:ind w:left="720" w:firstLineChars="0" w:firstLine="0"/>
        <w:rPr>
          <w:rFonts w:ascii="Times New Roman" w:hAnsi="Times New Roman" w:cs="Times New Roman"/>
          <w:sz w:val="24"/>
          <w:szCs w:val="24"/>
        </w:rPr>
      </w:pPr>
    </w:p>
    <w:tbl>
      <w:tblPr>
        <w:tblpPr w:leftFromText="180" w:rightFromText="180" w:vertAnchor="page" w:horzAnchor="margin" w:tblpXSpec="center" w:tblpY="2028"/>
        <w:tblW w:w="7560" w:type="dxa"/>
        <w:tblLook w:val="04A0" w:firstRow="1" w:lastRow="0" w:firstColumn="1" w:lastColumn="0" w:noHBand="0" w:noVBand="1"/>
      </w:tblPr>
      <w:tblGrid>
        <w:gridCol w:w="960"/>
        <w:gridCol w:w="1100"/>
        <w:gridCol w:w="1100"/>
        <w:gridCol w:w="1100"/>
        <w:gridCol w:w="1100"/>
        <w:gridCol w:w="1100"/>
        <w:gridCol w:w="1100"/>
      </w:tblGrid>
      <w:tr w:rsidR="003C02C4" w:rsidRPr="00AA35E0" w14:paraId="4718652B" w14:textId="77777777" w:rsidTr="00AD273D">
        <w:trPr>
          <w:trHeight w:val="300"/>
        </w:trPr>
        <w:tc>
          <w:tcPr>
            <w:tcW w:w="960" w:type="dxa"/>
            <w:tcBorders>
              <w:top w:val="nil"/>
              <w:left w:val="nil"/>
              <w:right w:val="nil"/>
            </w:tcBorders>
            <w:shd w:val="clear" w:color="auto" w:fill="auto"/>
            <w:noWrap/>
            <w:vAlign w:val="bottom"/>
          </w:tcPr>
          <w:p w14:paraId="43052DBF" w14:textId="77777777" w:rsidR="003C02C4" w:rsidRPr="00AA35E0" w:rsidRDefault="003C02C4" w:rsidP="003C02C4">
            <w:pPr>
              <w:rPr>
                <w:color w:val="000000"/>
                <w:lang w:eastAsia="ko-KR"/>
              </w:rPr>
            </w:pPr>
          </w:p>
        </w:tc>
        <w:tc>
          <w:tcPr>
            <w:tcW w:w="2200" w:type="dxa"/>
            <w:gridSpan w:val="2"/>
            <w:tcBorders>
              <w:top w:val="nil"/>
              <w:left w:val="single" w:sz="8" w:space="0" w:color="auto"/>
              <w:right w:val="single" w:sz="8" w:space="0" w:color="auto"/>
            </w:tcBorders>
            <w:shd w:val="clear" w:color="auto" w:fill="auto"/>
            <w:noWrap/>
            <w:vAlign w:val="center"/>
          </w:tcPr>
          <w:p w14:paraId="38B8E363" w14:textId="77777777" w:rsidR="003C02C4" w:rsidRPr="00AA35E0" w:rsidRDefault="003C02C4" w:rsidP="003C02C4">
            <w:pPr>
              <w:jc w:val="center"/>
              <w:rPr>
                <w:b/>
                <w:bCs/>
                <w:color w:val="000000"/>
                <w:lang w:eastAsia="ko-KR"/>
              </w:rPr>
            </w:pPr>
            <w:r w:rsidRPr="00AA35E0">
              <w:rPr>
                <w:b/>
                <w:bCs/>
                <w:color w:val="000000"/>
                <w:lang w:eastAsia="ko-KR"/>
              </w:rPr>
              <w:t>1-1 strategy</w:t>
            </w:r>
          </w:p>
        </w:tc>
        <w:tc>
          <w:tcPr>
            <w:tcW w:w="2200" w:type="dxa"/>
            <w:gridSpan w:val="2"/>
            <w:tcBorders>
              <w:top w:val="nil"/>
              <w:left w:val="nil"/>
              <w:right w:val="nil"/>
            </w:tcBorders>
            <w:shd w:val="clear" w:color="auto" w:fill="auto"/>
            <w:noWrap/>
            <w:vAlign w:val="center"/>
          </w:tcPr>
          <w:p w14:paraId="27F80F21" w14:textId="77777777" w:rsidR="003C02C4" w:rsidRPr="00AA35E0" w:rsidRDefault="003C02C4" w:rsidP="003C02C4">
            <w:pPr>
              <w:jc w:val="center"/>
              <w:rPr>
                <w:b/>
                <w:bCs/>
                <w:color w:val="000000"/>
                <w:lang w:eastAsia="ko-KR"/>
              </w:rPr>
            </w:pPr>
            <w:r w:rsidRPr="00AA35E0">
              <w:rPr>
                <w:b/>
                <w:bCs/>
                <w:color w:val="000000"/>
                <w:lang w:eastAsia="ko-KR"/>
              </w:rPr>
              <w:t>12-1 strategy</w:t>
            </w:r>
          </w:p>
        </w:tc>
        <w:tc>
          <w:tcPr>
            <w:tcW w:w="2200" w:type="dxa"/>
            <w:gridSpan w:val="2"/>
            <w:tcBorders>
              <w:top w:val="nil"/>
              <w:left w:val="single" w:sz="8" w:space="0" w:color="auto"/>
              <w:right w:val="nil"/>
            </w:tcBorders>
            <w:shd w:val="clear" w:color="auto" w:fill="auto"/>
            <w:noWrap/>
            <w:vAlign w:val="center"/>
          </w:tcPr>
          <w:p w14:paraId="7269275F" w14:textId="77777777" w:rsidR="003C02C4" w:rsidRPr="00AA35E0" w:rsidRDefault="003C02C4" w:rsidP="003C02C4">
            <w:pPr>
              <w:jc w:val="center"/>
              <w:rPr>
                <w:b/>
                <w:bCs/>
                <w:color w:val="000000"/>
                <w:lang w:eastAsia="ko-KR"/>
              </w:rPr>
            </w:pPr>
            <w:r w:rsidRPr="00AA35E0">
              <w:rPr>
                <w:b/>
                <w:bCs/>
                <w:color w:val="000000"/>
                <w:lang w:eastAsia="ko-KR"/>
              </w:rPr>
              <w:t>12-2 strategy</w:t>
            </w:r>
          </w:p>
        </w:tc>
      </w:tr>
      <w:tr w:rsidR="003C02C4" w:rsidRPr="00AA35E0" w14:paraId="08E2458E" w14:textId="77777777" w:rsidTr="00AD273D">
        <w:trPr>
          <w:trHeight w:val="300"/>
        </w:trPr>
        <w:tc>
          <w:tcPr>
            <w:tcW w:w="960" w:type="dxa"/>
            <w:tcBorders>
              <w:left w:val="nil"/>
              <w:bottom w:val="single" w:sz="8" w:space="0" w:color="auto"/>
              <w:right w:val="nil"/>
            </w:tcBorders>
            <w:shd w:val="clear" w:color="auto" w:fill="auto"/>
            <w:noWrap/>
            <w:vAlign w:val="bottom"/>
            <w:hideMark/>
          </w:tcPr>
          <w:p w14:paraId="0DEDEDA1" w14:textId="77777777" w:rsidR="003C02C4" w:rsidRPr="00AA35E0" w:rsidRDefault="003C02C4" w:rsidP="003C02C4">
            <w:pPr>
              <w:rPr>
                <w:color w:val="000000"/>
                <w:lang w:eastAsia="ko-KR"/>
              </w:rPr>
            </w:pPr>
            <w:r w:rsidRPr="00AA35E0">
              <w:rPr>
                <w:color w:val="000000"/>
                <w:lang w:eastAsia="ko-KR"/>
              </w:rPr>
              <w:t> </w:t>
            </w:r>
          </w:p>
        </w:tc>
        <w:tc>
          <w:tcPr>
            <w:tcW w:w="1100" w:type="dxa"/>
            <w:tcBorders>
              <w:left w:val="single" w:sz="8" w:space="0" w:color="auto"/>
              <w:bottom w:val="single" w:sz="8" w:space="0" w:color="auto"/>
              <w:right w:val="nil"/>
            </w:tcBorders>
            <w:shd w:val="clear" w:color="auto" w:fill="auto"/>
            <w:noWrap/>
            <w:vAlign w:val="center"/>
            <w:hideMark/>
          </w:tcPr>
          <w:p w14:paraId="7BC1E624" w14:textId="77777777" w:rsidR="003C02C4" w:rsidRPr="00AA35E0" w:rsidRDefault="003C02C4" w:rsidP="003C02C4">
            <w:pPr>
              <w:jc w:val="center"/>
              <w:rPr>
                <w:b/>
                <w:bCs/>
                <w:color w:val="000000"/>
                <w:lang w:eastAsia="ko-KR"/>
              </w:rPr>
            </w:pPr>
            <w:r w:rsidRPr="00AA35E0">
              <w:rPr>
                <w:b/>
                <w:bCs/>
                <w:color w:val="000000"/>
                <w:lang w:eastAsia="ko-KR"/>
              </w:rPr>
              <w:t>estimate</w:t>
            </w:r>
          </w:p>
        </w:tc>
        <w:tc>
          <w:tcPr>
            <w:tcW w:w="1100" w:type="dxa"/>
            <w:tcBorders>
              <w:left w:val="nil"/>
              <w:bottom w:val="single" w:sz="8" w:space="0" w:color="auto"/>
              <w:right w:val="single" w:sz="8" w:space="0" w:color="auto"/>
            </w:tcBorders>
            <w:shd w:val="clear" w:color="auto" w:fill="auto"/>
            <w:noWrap/>
            <w:vAlign w:val="center"/>
            <w:hideMark/>
          </w:tcPr>
          <w:p w14:paraId="58A6FD2B" w14:textId="77777777" w:rsidR="003C02C4" w:rsidRPr="00AA35E0" w:rsidRDefault="003C02C4" w:rsidP="003C02C4">
            <w:pPr>
              <w:jc w:val="center"/>
              <w:rPr>
                <w:b/>
                <w:bCs/>
                <w:color w:val="000000"/>
                <w:lang w:eastAsia="ko-KR"/>
              </w:rPr>
            </w:pPr>
            <w:r w:rsidRPr="00AA35E0">
              <w:rPr>
                <w:b/>
                <w:bCs/>
                <w:color w:val="000000"/>
                <w:lang w:eastAsia="ko-KR"/>
              </w:rPr>
              <w:t>t-stat</w:t>
            </w:r>
          </w:p>
        </w:tc>
        <w:tc>
          <w:tcPr>
            <w:tcW w:w="1100" w:type="dxa"/>
            <w:tcBorders>
              <w:left w:val="nil"/>
              <w:bottom w:val="single" w:sz="8" w:space="0" w:color="auto"/>
              <w:right w:val="nil"/>
            </w:tcBorders>
            <w:shd w:val="clear" w:color="auto" w:fill="auto"/>
            <w:noWrap/>
            <w:vAlign w:val="center"/>
            <w:hideMark/>
          </w:tcPr>
          <w:p w14:paraId="194B51D6" w14:textId="77777777" w:rsidR="003C02C4" w:rsidRPr="00AA35E0" w:rsidRDefault="003C02C4" w:rsidP="003C02C4">
            <w:pPr>
              <w:jc w:val="center"/>
              <w:rPr>
                <w:b/>
                <w:bCs/>
                <w:color w:val="000000"/>
                <w:lang w:eastAsia="ko-KR"/>
              </w:rPr>
            </w:pPr>
            <w:r w:rsidRPr="00AA35E0">
              <w:rPr>
                <w:b/>
                <w:bCs/>
                <w:color w:val="000000"/>
                <w:lang w:eastAsia="ko-KR"/>
              </w:rPr>
              <w:t>estimate</w:t>
            </w:r>
          </w:p>
        </w:tc>
        <w:tc>
          <w:tcPr>
            <w:tcW w:w="1100" w:type="dxa"/>
            <w:tcBorders>
              <w:left w:val="nil"/>
              <w:bottom w:val="single" w:sz="8" w:space="0" w:color="auto"/>
              <w:right w:val="nil"/>
            </w:tcBorders>
            <w:shd w:val="clear" w:color="auto" w:fill="auto"/>
            <w:noWrap/>
            <w:vAlign w:val="center"/>
            <w:hideMark/>
          </w:tcPr>
          <w:p w14:paraId="798F31D7" w14:textId="77777777" w:rsidR="003C02C4" w:rsidRPr="00AA35E0" w:rsidRDefault="003C02C4" w:rsidP="003C02C4">
            <w:pPr>
              <w:jc w:val="center"/>
              <w:rPr>
                <w:b/>
                <w:bCs/>
                <w:color w:val="000000"/>
                <w:lang w:eastAsia="ko-KR"/>
              </w:rPr>
            </w:pPr>
            <w:r w:rsidRPr="00AA35E0">
              <w:rPr>
                <w:b/>
                <w:bCs/>
                <w:color w:val="000000"/>
                <w:lang w:eastAsia="ko-KR"/>
              </w:rPr>
              <w:t>t-stat</w:t>
            </w:r>
          </w:p>
        </w:tc>
        <w:tc>
          <w:tcPr>
            <w:tcW w:w="1100" w:type="dxa"/>
            <w:tcBorders>
              <w:left w:val="single" w:sz="8" w:space="0" w:color="auto"/>
              <w:bottom w:val="single" w:sz="8" w:space="0" w:color="auto"/>
              <w:right w:val="nil"/>
            </w:tcBorders>
            <w:shd w:val="clear" w:color="auto" w:fill="auto"/>
            <w:noWrap/>
            <w:vAlign w:val="center"/>
            <w:hideMark/>
          </w:tcPr>
          <w:p w14:paraId="057800AB" w14:textId="77777777" w:rsidR="003C02C4" w:rsidRPr="00AA35E0" w:rsidRDefault="003C02C4" w:rsidP="003C02C4">
            <w:pPr>
              <w:jc w:val="center"/>
              <w:rPr>
                <w:b/>
                <w:bCs/>
                <w:color w:val="000000"/>
                <w:lang w:eastAsia="ko-KR"/>
              </w:rPr>
            </w:pPr>
            <w:r w:rsidRPr="00AA35E0">
              <w:rPr>
                <w:b/>
                <w:bCs/>
                <w:color w:val="000000"/>
                <w:lang w:eastAsia="ko-KR"/>
              </w:rPr>
              <w:t>estimate</w:t>
            </w:r>
          </w:p>
        </w:tc>
        <w:tc>
          <w:tcPr>
            <w:tcW w:w="1100" w:type="dxa"/>
            <w:tcBorders>
              <w:left w:val="nil"/>
              <w:bottom w:val="single" w:sz="8" w:space="0" w:color="auto"/>
              <w:right w:val="nil"/>
            </w:tcBorders>
            <w:shd w:val="clear" w:color="auto" w:fill="auto"/>
            <w:noWrap/>
            <w:vAlign w:val="center"/>
            <w:hideMark/>
          </w:tcPr>
          <w:p w14:paraId="67BE4176" w14:textId="77777777" w:rsidR="003C02C4" w:rsidRPr="00AA35E0" w:rsidRDefault="003C02C4" w:rsidP="003C02C4">
            <w:pPr>
              <w:jc w:val="center"/>
              <w:rPr>
                <w:b/>
                <w:bCs/>
                <w:color w:val="000000"/>
                <w:lang w:eastAsia="ko-KR"/>
              </w:rPr>
            </w:pPr>
            <w:r w:rsidRPr="00AA35E0">
              <w:rPr>
                <w:b/>
                <w:bCs/>
                <w:color w:val="000000"/>
                <w:lang w:eastAsia="ko-KR"/>
              </w:rPr>
              <w:t>t-stat</w:t>
            </w:r>
          </w:p>
        </w:tc>
      </w:tr>
      <w:tr w:rsidR="003C02C4" w:rsidRPr="00AA35E0" w14:paraId="528C678B" w14:textId="77777777" w:rsidTr="003C02C4">
        <w:trPr>
          <w:trHeight w:val="288"/>
        </w:trPr>
        <w:tc>
          <w:tcPr>
            <w:tcW w:w="960" w:type="dxa"/>
            <w:tcBorders>
              <w:top w:val="nil"/>
              <w:left w:val="nil"/>
              <w:bottom w:val="nil"/>
              <w:right w:val="nil"/>
            </w:tcBorders>
            <w:shd w:val="clear" w:color="auto" w:fill="auto"/>
            <w:noWrap/>
            <w:vAlign w:val="center"/>
            <w:hideMark/>
          </w:tcPr>
          <w:p w14:paraId="6B930B76" w14:textId="27ED8CF7" w:rsidR="003C02C4" w:rsidRPr="00AA35E0" w:rsidRDefault="00C31308" w:rsidP="003C02C4">
            <w:pPr>
              <w:jc w:val="center"/>
              <w:rPr>
                <w:b/>
                <w:bCs/>
                <w:color w:val="000000"/>
                <w:lang w:eastAsia="ko-KR"/>
              </w:rPr>
            </w:pPr>
            <m:oMathPara>
              <m:oMath>
                <m:r>
                  <m:rPr>
                    <m:sty m:val="b"/>
                  </m:rPr>
                  <w:rPr>
                    <w:rFonts w:ascii="Cambria Math" w:hAnsi="Cambria Math"/>
                  </w:rPr>
                  <m:t>α</m:t>
                </m:r>
              </m:oMath>
            </m:oMathPara>
          </w:p>
        </w:tc>
        <w:tc>
          <w:tcPr>
            <w:tcW w:w="1100" w:type="dxa"/>
            <w:tcBorders>
              <w:top w:val="nil"/>
              <w:left w:val="single" w:sz="8" w:space="0" w:color="auto"/>
              <w:bottom w:val="nil"/>
              <w:right w:val="nil"/>
            </w:tcBorders>
            <w:shd w:val="clear" w:color="auto" w:fill="auto"/>
            <w:noWrap/>
            <w:vAlign w:val="bottom"/>
            <w:hideMark/>
          </w:tcPr>
          <w:p w14:paraId="032B9486" w14:textId="77777777" w:rsidR="003C02C4" w:rsidRPr="00AA35E0" w:rsidRDefault="003C02C4" w:rsidP="003C02C4">
            <w:pPr>
              <w:jc w:val="right"/>
              <w:rPr>
                <w:color w:val="000000"/>
                <w:lang w:eastAsia="ko-KR"/>
              </w:rPr>
            </w:pPr>
            <w:r w:rsidRPr="00AA35E0">
              <w:rPr>
                <w:color w:val="000000"/>
                <w:lang w:eastAsia="ko-KR"/>
              </w:rPr>
              <w:t>0.692</w:t>
            </w:r>
          </w:p>
        </w:tc>
        <w:tc>
          <w:tcPr>
            <w:tcW w:w="1100" w:type="dxa"/>
            <w:tcBorders>
              <w:top w:val="nil"/>
              <w:left w:val="nil"/>
              <w:bottom w:val="nil"/>
              <w:right w:val="single" w:sz="8" w:space="0" w:color="auto"/>
            </w:tcBorders>
            <w:shd w:val="clear" w:color="auto" w:fill="auto"/>
            <w:noWrap/>
            <w:vAlign w:val="bottom"/>
            <w:hideMark/>
          </w:tcPr>
          <w:p w14:paraId="39ED8676" w14:textId="77777777" w:rsidR="003C02C4" w:rsidRPr="00AA35E0" w:rsidRDefault="003C02C4" w:rsidP="003C02C4">
            <w:pPr>
              <w:jc w:val="right"/>
              <w:rPr>
                <w:b/>
                <w:color w:val="000000"/>
                <w:lang w:eastAsia="ko-KR"/>
              </w:rPr>
            </w:pPr>
            <w:r w:rsidRPr="00AA35E0">
              <w:rPr>
                <w:b/>
                <w:color w:val="000000"/>
                <w:lang w:eastAsia="ko-KR"/>
              </w:rPr>
              <w:t>4.153</w:t>
            </w:r>
          </w:p>
        </w:tc>
        <w:tc>
          <w:tcPr>
            <w:tcW w:w="1100" w:type="dxa"/>
            <w:tcBorders>
              <w:top w:val="nil"/>
              <w:left w:val="nil"/>
              <w:bottom w:val="nil"/>
              <w:right w:val="nil"/>
            </w:tcBorders>
            <w:shd w:val="clear" w:color="auto" w:fill="auto"/>
            <w:noWrap/>
            <w:vAlign w:val="bottom"/>
            <w:hideMark/>
          </w:tcPr>
          <w:p w14:paraId="684C3608" w14:textId="77777777" w:rsidR="003C02C4" w:rsidRPr="00AA35E0" w:rsidRDefault="003C02C4" w:rsidP="003C02C4">
            <w:pPr>
              <w:jc w:val="right"/>
              <w:rPr>
                <w:color w:val="000000"/>
                <w:lang w:eastAsia="ko-KR"/>
              </w:rPr>
            </w:pPr>
            <w:r w:rsidRPr="00AA35E0">
              <w:rPr>
                <w:color w:val="000000"/>
                <w:lang w:eastAsia="ko-KR"/>
              </w:rPr>
              <w:t>1.045</w:t>
            </w:r>
          </w:p>
        </w:tc>
        <w:tc>
          <w:tcPr>
            <w:tcW w:w="1100" w:type="dxa"/>
            <w:tcBorders>
              <w:top w:val="nil"/>
              <w:left w:val="nil"/>
              <w:bottom w:val="nil"/>
              <w:right w:val="nil"/>
            </w:tcBorders>
            <w:shd w:val="clear" w:color="auto" w:fill="auto"/>
            <w:noWrap/>
            <w:vAlign w:val="bottom"/>
            <w:hideMark/>
          </w:tcPr>
          <w:p w14:paraId="4EC1C798" w14:textId="77777777" w:rsidR="003C02C4" w:rsidRPr="00AA35E0" w:rsidRDefault="003C02C4" w:rsidP="003C02C4">
            <w:pPr>
              <w:jc w:val="right"/>
              <w:rPr>
                <w:b/>
                <w:color w:val="000000"/>
                <w:lang w:eastAsia="ko-KR"/>
              </w:rPr>
            </w:pPr>
            <w:r w:rsidRPr="00AA35E0">
              <w:rPr>
                <w:b/>
                <w:color w:val="000000"/>
                <w:lang w:eastAsia="ko-KR"/>
              </w:rPr>
              <w:t>5.648</w:t>
            </w:r>
          </w:p>
        </w:tc>
        <w:tc>
          <w:tcPr>
            <w:tcW w:w="1100" w:type="dxa"/>
            <w:tcBorders>
              <w:top w:val="nil"/>
              <w:left w:val="single" w:sz="8" w:space="0" w:color="auto"/>
              <w:bottom w:val="nil"/>
              <w:right w:val="nil"/>
            </w:tcBorders>
            <w:shd w:val="clear" w:color="auto" w:fill="auto"/>
            <w:noWrap/>
            <w:vAlign w:val="bottom"/>
            <w:hideMark/>
          </w:tcPr>
          <w:p w14:paraId="7B12E144" w14:textId="77777777" w:rsidR="003C02C4" w:rsidRPr="00AA35E0" w:rsidRDefault="003C02C4" w:rsidP="003C02C4">
            <w:pPr>
              <w:jc w:val="right"/>
              <w:rPr>
                <w:color w:val="000000"/>
                <w:lang w:eastAsia="ko-KR"/>
              </w:rPr>
            </w:pPr>
            <w:r w:rsidRPr="00AA35E0">
              <w:rPr>
                <w:color w:val="000000"/>
                <w:lang w:eastAsia="ko-KR"/>
              </w:rPr>
              <w:t>1.108</w:t>
            </w:r>
          </w:p>
        </w:tc>
        <w:tc>
          <w:tcPr>
            <w:tcW w:w="1100" w:type="dxa"/>
            <w:tcBorders>
              <w:top w:val="nil"/>
              <w:left w:val="nil"/>
              <w:bottom w:val="nil"/>
              <w:right w:val="nil"/>
            </w:tcBorders>
            <w:shd w:val="clear" w:color="auto" w:fill="auto"/>
            <w:noWrap/>
            <w:vAlign w:val="bottom"/>
            <w:hideMark/>
          </w:tcPr>
          <w:p w14:paraId="1E58DFBF" w14:textId="77777777" w:rsidR="003C02C4" w:rsidRPr="00AA35E0" w:rsidRDefault="003C02C4" w:rsidP="003C02C4">
            <w:pPr>
              <w:jc w:val="right"/>
              <w:rPr>
                <w:b/>
                <w:color w:val="000000"/>
                <w:lang w:eastAsia="ko-KR"/>
              </w:rPr>
            </w:pPr>
            <w:r w:rsidRPr="00AA35E0">
              <w:rPr>
                <w:b/>
                <w:color w:val="000000"/>
                <w:lang w:eastAsia="ko-KR"/>
              </w:rPr>
              <w:t>6.006</w:t>
            </w:r>
          </w:p>
        </w:tc>
      </w:tr>
      <w:tr w:rsidR="003C02C4" w:rsidRPr="00AA35E0" w14:paraId="09E7A172" w14:textId="77777777" w:rsidTr="003C02C4">
        <w:trPr>
          <w:trHeight w:val="288"/>
        </w:trPr>
        <w:tc>
          <w:tcPr>
            <w:tcW w:w="960" w:type="dxa"/>
            <w:tcBorders>
              <w:top w:val="nil"/>
              <w:left w:val="nil"/>
              <w:bottom w:val="nil"/>
              <w:right w:val="nil"/>
            </w:tcBorders>
            <w:shd w:val="clear" w:color="auto" w:fill="auto"/>
            <w:noWrap/>
            <w:vAlign w:val="center"/>
            <w:hideMark/>
          </w:tcPr>
          <w:p w14:paraId="6F6D326F" w14:textId="77777777" w:rsidR="003C02C4" w:rsidRPr="00AA35E0" w:rsidRDefault="003C02C4" w:rsidP="003C02C4">
            <w:pPr>
              <w:jc w:val="center"/>
              <w:rPr>
                <w:b/>
                <w:bCs/>
                <w:color w:val="000000"/>
                <w:lang w:eastAsia="ko-KR"/>
              </w:rPr>
            </w:pPr>
            <w:r w:rsidRPr="00AA35E0">
              <w:rPr>
                <w:b/>
                <w:bCs/>
                <w:color w:val="000000"/>
                <w:lang w:eastAsia="ko-KR"/>
              </w:rPr>
              <w:t>RMRF</w:t>
            </w:r>
          </w:p>
        </w:tc>
        <w:tc>
          <w:tcPr>
            <w:tcW w:w="1100" w:type="dxa"/>
            <w:tcBorders>
              <w:top w:val="nil"/>
              <w:left w:val="single" w:sz="8" w:space="0" w:color="auto"/>
              <w:bottom w:val="nil"/>
              <w:right w:val="nil"/>
            </w:tcBorders>
            <w:shd w:val="clear" w:color="auto" w:fill="auto"/>
            <w:noWrap/>
            <w:vAlign w:val="bottom"/>
            <w:hideMark/>
          </w:tcPr>
          <w:p w14:paraId="4B34BE97" w14:textId="77777777" w:rsidR="003C02C4" w:rsidRPr="00AA35E0" w:rsidRDefault="003C02C4" w:rsidP="003C02C4">
            <w:pPr>
              <w:jc w:val="right"/>
              <w:rPr>
                <w:color w:val="000000"/>
                <w:lang w:eastAsia="ko-KR"/>
              </w:rPr>
            </w:pPr>
            <w:r w:rsidRPr="00AA35E0">
              <w:rPr>
                <w:color w:val="000000"/>
                <w:lang w:eastAsia="ko-KR"/>
              </w:rPr>
              <w:t>-0.063</w:t>
            </w:r>
          </w:p>
        </w:tc>
        <w:tc>
          <w:tcPr>
            <w:tcW w:w="1100" w:type="dxa"/>
            <w:tcBorders>
              <w:top w:val="nil"/>
              <w:left w:val="nil"/>
              <w:bottom w:val="nil"/>
              <w:right w:val="single" w:sz="8" w:space="0" w:color="auto"/>
            </w:tcBorders>
            <w:shd w:val="clear" w:color="auto" w:fill="auto"/>
            <w:noWrap/>
            <w:vAlign w:val="bottom"/>
            <w:hideMark/>
          </w:tcPr>
          <w:p w14:paraId="418080D8" w14:textId="77777777" w:rsidR="003C02C4" w:rsidRPr="00AA35E0" w:rsidRDefault="003C02C4" w:rsidP="003C02C4">
            <w:pPr>
              <w:jc w:val="right"/>
              <w:rPr>
                <w:color w:val="000000"/>
                <w:lang w:eastAsia="ko-KR"/>
              </w:rPr>
            </w:pPr>
            <w:r w:rsidRPr="00AA35E0">
              <w:rPr>
                <w:color w:val="000000"/>
                <w:lang w:eastAsia="ko-KR"/>
              </w:rPr>
              <w:t>-1.911</w:t>
            </w:r>
          </w:p>
        </w:tc>
        <w:tc>
          <w:tcPr>
            <w:tcW w:w="1100" w:type="dxa"/>
            <w:tcBorders>
              <w:top w:val="nil"/>
              <w:left w:val="nil"/>
              <w:bottom w:val="nil"/>
              <w:right w:val="nil"/>
            </w:tcBorders>
            <w:shd w:val="clear" w:color="auto" w:fill="auto"/>
            <w:noWrap/>
            <w:vAlign w:val="bottom"/>
            <w:hideMark/>
          </w:tcPr>
          <w:p w14:paraId="79DBBE13" w14:textId="77777777" w:rsidR="003C02C4" w:rsidRPr="00AA35E0" w:rsidRDefault="003C02C4" w:rsidP="003C02C4">
            <w:pPr>
              <w:jc w:val="right"/>
              <w:rPr>
                <w:color w:val="000000"/>
                <w:lang w:eastAsia="ko-KR"/>
              </w:rPr>
            </w:pPr>
            <w:r w:rsidRPr="00AA35E0">
              <w:rPr>
                <w:color w:val="000000"/>
                <w:lang w:eastAsia="ko-KR"/>
              </w:rPr>
              <w:t>-0.137</w:t>
            </w:r>
          </w:p>
        </w:tc>
        <w:tc>
          <w:tcPr>
            <w:tcW w:w="1100" w:type="dxa"/>
            <w:tcBorders>
              <w:top w:val="nil"/>
              <w:left w:val="nil"/>
              <w:bottom w:val="nil"/>
              <w:right w:val="nil"/>
            </w:tcBorders>
            <w:shd w:val="clear" w:color="auto" w:fill="auto"/>
            <w:noWrap/>
            <w:vAlign w:val="bottom"/>
            <w:hideMark/>
          </w:tcPr>
          <w:p w14:paraId="7E17D669" w14:textId="77777777" w:rsidR="003C02C4" w:rsidRPr="00AA35E0" w:rsidRDefault="003C02C4" w:rsidP="003C02C4">
            <w:pPr>
              <w:jc w:val="right"/>
              <w:rPr>
                <w:color w:val="000000"/>
                <w:lang w:eastAsia="ko-KR"/>
              </w:rPr>
            </w:pPr>
            <w:r w:rsidRPr="00AA35E0">
              <w:rPr>
                <w:color w:val="000000"/>
                <w:lang w:eastAsia="ko-KR"/>
              </w:rPr>
              <w:t>-3.723</w:t>
            </w:r>
          </w:p>
        </w:tc>
        <w:tc>
          <w:tcPr>
            <w:tcW w:w="1100" w:type="dxa"/>
            <w:tcBorders>
              <w:top w:val="nil"/>
              <w:left w:val="single" w:sz="8" w:space="0" w:color="auto"/>
              <w:bottom w:val="nil"/>
              <w:right w:val="nil"/>
            </w:tcBorders>
            <w:shd w:val="clear" w:color="auto" w:fill="auto"/>
            <w:noWrap/>
            <w:vAlign w:val="bottom"/>
            <w:hideMark/>
          </w:tcPr>
          <w:p w14:paraId="73896F8E" w14:textId="77777777" w:rsidR="003C02C4" w:rsidRPr="00AA35E0" w:rsidRDefault="003C02C4" w:rsidP="003C02C4">
            <w:pPr>
              <w:jc w:val="right"/>
              <w:rPr>
                <w:color w:val="000000"/>
                <w:lang w:eastAsia="ko-KR"/>
              </w:rPr>
            </w:pPr>
            <w:r w:rsidRPr="00AA35E0">
              <w:rPr>
                <w:color w:val="000000"/>
                <w:lang w:eastAsia="ko-KR"/>
              </w:rPr>
              <w:t>-0.132</w:t>
            </w:r>
          </w:p>
        </w:tc>
        <w:tc>
          <w:tcPr>
            <w:tcW w:w="1100" w:type="dxa"/>
            <w:tcBorders>
              <w:top w:val="nil"/>
              <w:left w:val="nil"/>
              <w:bottom w:val="nil"/>
              <w:right w:val="nil"/>
            </w:tcBorders>
            <w:shd w:val="clear" w:color="auto" w:fill="auto"/>
            <w:noWrap/>
            <w:vAlign w:val="bottom"/>
            <w:hideMark/>
          </w:tcPr>
          <w:p w14:paraId="7A898CB3" w14:textId="77777777" w:rsidR="003C02C4" w:rsidRPr="00AA35E0" w:rsidRDefault="003C02C4" w:rsidP="003C02C4">
            <w:pPr>
              <w:jc w:val="right"/>
              <w:rPr>
                <w:color w:val="000000"/>
                <w:lang w:eastAsia="ko-KR"/>
              </w:rPr>
            </w:pPr>
            <w:r w:rsidRPr="00AA35E0">
              <w:rPr>
                <w:color w:val="000000"/>
                <w:lang w:eastAsia="ko-KR"/>
              </w:rPr>
              <w:t>-3.615</w:t>
            </w:r>
          </w:p>
        </w:tc>
      </w:tr>
      <w:tr w:rsidR="003C02C4" w:rsidRPr="00AA35E0" w14:paraId="7D6742A6" w14:textId="77777777" w:rsidTr="003C02C4">
        <w:trPr>
          <w:trHeight w:val="288"/>
        </w:trPr>
        <w:tc>
          <w:tcPr>
            <w:tcW w:w="960" w:type="dxa"/>
            <w:tcBorders>
              <w:top w:val="nil"/>
              <w:left w:val="nil"/>
              <w:bottom w:val="nil"/>
              <w:right w:val="nil"/>
            </w:tcBorders>
            <w:shd w:val="clear" w:color="auto" w:fill="auto"/>
            <w:noWrap/>
            <w:vAlign w:val="center"/>
            <w:hideMark/>
          </w:tcPr>
          <w:p w14:paraId="162953FB" w14:textId="77777777" w:rsidR="003C02C4" w:rsidRPr="00AA35E0" w:rsidRDefault="003C02C4" w:rsidP="003C02C4">
            <w:pPr>
              <w:jc w:val="center"/>
              <w:rPr>
                <w:b/>
                <w:bCs/>
                <w:color w:val="000000"/>
                <w:lang w:eastAsia="ko-KR"/>
              </w:rPr>
            </w:pPr>
            <w:r w:rsidRPr="00AA35E0">
              <w:rPr>
                <w:b/>
                <w:bCs/>
                <w:color w:val="000000"/>
                <w:lang w:eastAsia="ko-KR"/>
              </w:rPr>
              <w:t>SMB</w:t>
            </w:r>
          </w:p>
        </w:tc>
        <w:tc>
          <w:tcPr>
            <w:tcW w:w="1100" w:type="dxa"/>
            <w:tcBorders>
              <w:top w:val="nil"/>
              <w:left w:val="single" w:sz="8" w:space="0" w:color="auto"/>
              <w:bottom w:val="nil"/>
              <w:right w:val="nil"/>
            </w:tcBorders>
            <w:shd w:val="clear" w:color="auto" w:fill="auto"/>
            <w:noWrap/>
            <w:vAlign w:val="bottom"/>
            <w:hideMark/>
          </w:tcPr>
          <w:p w14:paraId="4A877530" w14:textId="77777777" w:rsidR="003C02C4" w:rsidRPr="00AA35E0" w:rsidRDefault="003C02C4" w:rsidP="003C02C4">
            <w:pPr>
              <w:jc w:val="right"/>
              <w:rPr>
                <w:color w:val="000000"/>
                <w:lang w:eastAsia="ko-KR"/>
              </w:rPr>
            </w:pPr>
            <w:r w:rsidRPr="00AA35E0">
              <w:rPr>
                <w:color w:val="000000"/>
                <w:lang w:eastAsia="ko-KR"/>
              </w:rPr>
              <w:t>-0.051</w:t>
            </w:r>
          </w:p>
        </w:tc>
        <w:tc>
          <w:tcPr>
            <w:tcW w:w="1100" w:type="dxa"/>
            <w:tcBorders>
              <w:top w:val="nil"/>
              <w:left w:val="nil"/>
              <w:bottom w:val="nil"/>
              <w:right w:val="single" w:sz="8" w:space="0" w:color="auto"/>
            </w:tcBorders>
            <w:shd w:val="clear" w:color="auto" w:fill="auto"/>
            <w:noWrap/>
            <w:vAlign w:val="bottom"/>
            <w:hideMark/>
          </w:tcPr>
          <w:p w14:paraId="49A78455" w14:textId="77777777" w:rsidR="003C02C4" w:rsidRPr="00AA35E0" w:rsidRDefault="003C02C4" w:rsidP="003C02C4">
            <w:pPr>
              <w:jc w:val="right"/>
              <w:rPr>
                <w:color w:val="000000"/>
                <w:lang w:eastAsia="ko-KR"/>
              </w:rPr>
            </w:pPr>
            <w:r w:rsidRPr="00AA35E0">
              <w:rPr>
                <w:color w:val="000000"/>
                <w:lang w:eastAsia="ko-KR"/>
              </w:rPr>
              <w:t>-0.949</w:t>
            </w:r>
          </w:p>
        </w:tc>
        <w:tc>
          <w:tcPr>
            <w:tcW w:w="1100" w:type="dxa"/>
            <w:tcBorders>
              <w:top w:val="nil"/>
              <w:left w:val="nil"/>
              <w:bottom w:val="nil"/>
              <w:right w:val="nil"/>
            </w:tcBorders>
            <w:shd w:val="clear" w:color="auto" w:fill="auto"/>
            <w:noWrap/>
            <w:vAlign w:val="bottom"/>
            <w:hideMark/>
          </w:tcPr>
          <w:p w14:paraId="3A8C9F2D" w14:textId="77777777" w:rsidR="003C02C4" w:rsidRPr="00AA35E0" w:rsidRDefault="003C02C4" w:rsidP="003C02C4">
            <w:pPr>
              <w:jc w:val="right"/>
              <w:rPr>
                <w:color w:val="000000"/>
                <w:lang w:eastAsia="ko-KR"/>
              </w:rPr>
            </w:pPr>
            <w:r w:rsidRPr="00AA35E0">
              <w:rPr>
                <w:color w:val="000000"/>
                <w:lang w:eastAsia="ko-KR"/>
              </w:rPr>
              <w:t>0.051</w:t>
            </w:r>
          </w:p>
        </w:tc>
        <w:tc>
          <w:tcPr>
            <w:tcW w:w="1100" w:type="dxa"/>
            <w:tcBorders>
              <w:top w:val="nil"/>
              <w:left w:val="nil"/>
              <w:bottom w:val="nil"/>
              <w:right w:val="nil"/>
            </w:tcBorders>
            <w:shd w:val="clear" w:color="auto" w:fill="auto"/>
            <w:noWrap/>
            <w:vAlign w:val="bottom"/>
            <w:hideMark/>
          </w:tcPr>
          <w:p w14:paraId="3FC34336" w14:textId="77777777" w:rsidR="003C02C4" w:rsidRPr="00AA35E0" w:rsidRDefault="003C02C4" w:rsidP="003C02C4">
            <w:pPr>
              <w:jc w:val="right"/>
              <w:rPr>
                <w:color w:val="000000"/>
                <w:lang w:eastAsia="ko-KR"/>
              </w:rPr>
            </w:pPr>
            <w:r w:rsidRPr="00AA35E0">
              <w:rPr>
                <w:color w:val="000000"/>
                <w:lang w:eastAsia="ko-KR"/>
              </w:rPr>
              <w:t>0.850</w:t>
            </w:r>
          </w:p>
        </w:tc>
        <w:tc>
          <w:tcPr>
            <w:tcW w:w="1100" w:type="dxa"/>
            <w:tcBorders>
              <w:top w:val="nil"/>
              <w:left w:val="single" w:sz="8" w:space="0" w:color="auto"/>
              <w:bottom w:val="nil"/>
              <w:right w:val="nil"/>
            </w:tcBorders>
            <w:shd w:val="clear" w:color="auto" w:fill="auto"/>
            <w:noWrap/>
            <w:vAlign w:val="bottom"/>
            <w:hideMark/>
          </w:tcPr>
          <w:p w14:paraId="40F63B7E" w14:textId="77777777" w:rsidR="003C02C4" w:rsidRPr="00AA35E0" w:rsidRDefault="003C02C4" w:rsidP="003C02C4">
            <w:pPr>
              <w:jc w:val="right"/>
              <w:rPr>
                <w:color w:val="000000"/>
                <w:lang w:eastAsia="ko-KR"/>
              </w:rPr>
            </w:pPr>
            <w:r w:rsidRPr="00AA35E0">
              <w:rPr>
                <w:color w:val="000000"/>
                <w:lang w:eastAsia="ko-KR"/>
              </w:rPr>
              <w:t>0.084</w:t>
            </w:r>
          </w:p>
        </w:tc>
        <w:tc>
          <w:tcPr>
            <w:tcW w:w="1100" w:type="dxa"/>
            <w:tcBorders>
              <w:top w:val="nil"/>
              <w:left w:val="nil"/>
              <w:bottom w:val="nil"/>
              <w:right w:val="nil"/>
            </w:tcBorders>
            <w:shd w:val="clear" w:color="auto" w:fill="auto"/>
            <w:noWrap/>
            <w:vAlign w:val="bottom"/>
            <w:hideMark/>
          </w:tcPr>
          <w:p w14:paraId="4155388D" w14:textId="77777777" w:rsidR="003C02C4" w:rsidRPr="00AA35E0" w:rsidRDefault="003C02C4" w:rsidP="003C02C4">
            <w:pPr>
              <w:jc w:val="right"/>
              <w:rPr>
                <w:color w:val="000000"/>
                <w:lang w:eastAsia="ko-KR"/>
              </w:rPr>
            </w:pPr>
            <w:r w:rsidRPr="00AA35E0">
              <w:rPr>
                <w:color w:val="000000"/>
                <w:lang w:eastAsia="ko-KR"/>
              </w:rPr>
              <w:t>1.415</w:t>
            </w:r>
          </w:p>
        </w:tc>
      </w:tr>
      <w:tr w:rsidR="003C02C4" w:rsidRPr="00AA35E0" w14:paraId="36ADEED3" w14:textId="77777777" w:rsidTr="003C02C4">
        <w:trPr>
          <w:trHeight w:val="288"/>
        </w:trPr>
        <w:tc>
          <w:tcPr>
            <w:tcW w:w="960" w:type="dxa"/>
            <w:tcBorders>
              <w:top w:val="nil"/>
              <w:left w:val="nil"/>
              <w:bottom w:val="nil"/>
              <w:right w:val="nil"/>
            </w:tcBorders>
            <w:shd w:val="clear" w:color="auto" w:fill="auto"/>
            <w:noWrap/>
            <w:vAlign w:val="center"/>
            <w:hideMark/>
          </w:tcPr>
          <w:p w14:paraId="7D74DACE" w14:textId="77777777" w:rsidR="003C02C4" w:rsidRPr="00AA35E0" w:rsidRDefault="003C02C4" w:rsidP="003C02C4">
            <w:pPr>
              <w:jc w:val="center"/>
              <w:rPr>
                <w:b/>
                <w:bCs/>
                <w:color w:val="000000"/>
                <w:lang w:eastAsia="ko-KR"/>
              </w:rPr>
            </w:pPr>
            <w:r w:rsidRPr="00AA35E0">
              <w:rPr>
                <w:b/>
                <w:bCs/>
                <w:color w:val="000000"/>
                <w:lang w:eastAsia="ko-KR"/>
              </w:rPr>
              <w:t>HML</w:t>
            </w:r>
          </w:p>
        </w:tc>
        <w:tc>
          <w:tcPr>
            <w:tcW w:w="1100" w:type="dxa"/>
            <w:tcBorders>
              <w:top w:val="nil"/>
              <w:left w:val="single" w:sz="8" w:space="0" w:color="auto"/>
              <w:bottom w:val="nil"/>
              <w:right w:val="nil"/>
            </w:tcBorders>
            <w:shd w:val="clear" w:color="auto" w:fill="auto"/>
            <w:noWrap/>
            <w:vAlign w:val="bottom"/>
            <w:hideMark/>
          </w:tcPr>
          <w:p w14:paraId="06FAFE76" w14:textId="77777777" w:rsidR="003C02C4" w:rsidRPr="00AA35E0" w:rsidRDefault="003C02C4" w:rsidP="003C02C4">
            <w:pPr>
              <w:jc w:val="right"/>
              <w:rPr>
                <w:color w:val="000000"/>
                <w:lang w:eastAsia="ko-KR"/>
              </w:rPr>
            </w:pPr>
            <w:r w:rsidRPr="00AA35E0">
              <w:rPr>
                <w:color w:val="000000"/>
                <w:lang w:eastAsia="ko-KR"/>
              </w:rPr>
              <w:t>0.133</w:t>
            </w:r>
          </w:p>
        </w:tc>
        <w:tc>
          <w:tcPr>
            <w:tcW w:w="1100" w:type="dxa"/>
            <w:tcBorders>
              <w:top w:val="nil"/>
              <w:left w:val="nil"/>
              <w:bottom w:val="nil"/>
              <w:right w:val="single" w:sz="8" w:space="0" w:color="auto"/>
            </w:tcBorders>
            <w:shd w:val="clear" w:color="auto" w:fill="auto"/>
            <w:noWrap/>
            <w:vAlign w:val="bottom"/>
            <w:hideMark/>
          </w:tcPr>
          <w:p w14:paraId="66009E73" w14:textId="77777777" w:rsidR="003C02C4" w:rsidRPr="00AA35E0" w:rsidRDefault="003C02C4" w:rsidP="003C02C4">
            <w:pPr>
              <w:jc w:val="right"/>
              <w:rPr>
                <w:color w:val="000000"/>
                <w:lang w:eastAsia="ko-KR"/>
              </w:rPr>
            </w:pPr>
            <w:r w:rsidRPr="00AA35E0">
              <w:rPr>
                <w:color w:val="000000"/>
                <w:lang w:eastAsia="ko-KR"/>
              </w:rPr>
              <w:t>2.737</w:t>
            </w:r>
          </w:p>
        </w:tc>
        <w:tc>
          <w:tcPr>
            <w:tcW w:w="1100" w:type="dxa"/>
            <w:tcBorders>
              <w:top w:val="nil"/>
              <w:left w:val="nil"/>
              <w:bottom w:val="nil"/>
              <w:right w:val="nil"/>
            </w:tcBorders>
            <w:shd w:val="clear" w:color="auto" w:fill="auto"/>
            <w:noWrap/>
            <w:vAlign w:val="bottom"/>
            <w:hideMark/>
          </w:tcPr>
          <w:p w14:paraId="40CB9AB6" w14:textId="77777777" w:rsidR="003C02C4" w:rsidRPr="00AA35E0" w:rsidRDefault="003C02C4" w:rsidP="003C02C4">
            <w:pPr>
              <w:jc w:val="right"/>
              <w:rPr>
                <w:color w:val="000000"/>
                <w:lang w:eastAsia="ko-KR"/>
              </w:rPr>
            </w:pPr>
            <w:r w:rsidRPr="00AA35E0">
              <w:rPr>
                <w:color w:val="000000"/>
                <w:lang w:eastAsia="ko-KR"/>
              </w:rPr>
              <w:t>-0.280</w:t>
            </w:r>
          </w:p>
        </w:tc>
        <w:tc>
          <w:tcPr>
            <w:tcW w:w="1100" w:type="dxa"/>
            <w:tcBorders>
              <w:top w:val="nil"/>
              <w:left w:val="nil"/>
              <w:bottom w:val="nil"/>
              <w:right w:val="nil"/>
            </w:tcBorders>
            <w:shd w:val="clear" w:color="auto" w:fill="auto"/>
            <w:noWrap/>
            <w:vAlign w:val="bottom"/>
            <w:hideMark/>
          </w:tcPr>
          <w:p w14:paraId="5DFB1866" w14:textId="77777777" w:rsidR="003C02C4" w:rsidRPr="00AA35E0" w:rsidRDefault="003C02C4" w:rsidP="003C02C4">
            <w:pPr>
              <w:jc w:val="right"/>
              <w:rPr>
                <w:color w:val="000000"/>
                <w:lang w:eastAsia="ko-KR"/>
              </w:rPr>
            </w:pPr>
            <w:r w:rsidRPr="00AA35E0">
              <w:rPr>
                <w:color w:val="000000"/>
                <w:lang w:eastAsia="ko-KR"/>
              </w:rPr>
              <w:t>-5.201</w:t>
            </w:r>
          </w:p>
        </w:tc>
        <w:tc>
          <w:tcPr>
            <w:tcW w:w="1100" w:type="dxa"/>
            <w:tcBorders>
              <w:top w:val="nil"/>
              <w:left w:val="single" w:sz="8" w:space="0" w:color="auto"/>
              <w:bottom w:val="nil"/>
              <w:right w:val="nil"/>
            </w:tcBorders>
            <w:shd w:val="clear" w:color="auto" w:fill="auto"/>
            <w:noWrap/>
            <w:vAlign w:val="bottom"/>
            <w:hideMark/>
          </w:tcPr>
          <w:p w14:paraId="04E3EA8F" w14:textId="77777777" w:rsidR="003C02C4" w:rsidRPr="00AA35E0" w:rsidRDefault="003C02C4" w:rsidP="003C02C4">
            <w:pPr>
              <w:jc w:val="right"/>
              <w:rPr>
                <w:color w:val="000000"/>
                <w:lang w:eastAsia="ko-KR"/>
              </w:rPr>
            </w:pPr>
            <w:r w:rsidRPr="00AA35E0">
              <w:rPr>
                <w:color w:val="000000"/>
                <w:lang w:eastAsia="ko-KR"/>
              </w:rPr>
              <w:t>-0.287</w:t>
            </w:r>
          </w:p>
        </w:tc>
        <w:tc>
          <w:tcPr>
            <w:tcW w:w="1100" w:type="dxa"/>
            <w:tcBorders>
              <w:top w:val="nil"/>
              <w:left w:val="nil"/>
              <w:bottom w:val="nil"/>
              <w:right w:val="nil"/>
            </w:tcBorders>
            <w:shd w:val="clear" w:color="auto" w:fill="auto"/>
            <w:noWrap/>
            <w:vAlign w:val="bottom"/>
            <w:hideMark/>
          </w:tcPr>
          <w:p w14:paraId="36AA19D6" w14:textId="77777777" w:rsidR="003C02C4" w:rsidRPr="00AA35E0" w:rsidRDefault="003C02C4" w:rsidP="003C02C4">
            <w:pPr>
              <w:jc w:val="right"/>
              <w:rPr>
                <w:color w:val="000000"/>
                <w:lang w:eastAsia="ko-KR"/>
              </w:rPr>
            </w:pPr>
            <w:r w:rsidRPr="00AA35E0">
              <w:rPr>
                <w:color w:val="000000"/>
                <w:lang w:eastAsia="ko-KR"/>
              </w:rPr>
              <w:t>-5.347</w:t>
            </w:r>
          </w:p>
        </w:tc>
      </w:tr>
    </w:tbl>
    <w:p w14:paraId="3BB567C3" w14:textId="77777777" w:rsidR="003C02C4" w:rsidRPr="00AA35E0" w:rsidRDefault="003C02C4" w:rsidP="003C02C4">
      <w:pPr>
        <w:pStyle w:val="ListParagraph"/>
        <w:ind w:left="720" w:firstLineChars="0" w:firstLine="0"/>
        <w:rPr>
          <w:rFonts w:ascii="Times New Roman" w:hAnsi="Times New Roman" w:cs="Times New Roman"/>
          <w:sz w:val="24"/>
          <w:szCs w:val="24"/>
        </w:rPr>
      </w:pPr>
    </w:p>
    <w:p w14:paraId="0AAD0562" w14:textId="77777777" w:rsidR="003C02C4" w:rsidRPr="00AA35E0" w:rsidRDefault="003C02C4" w:rsidP="003C02C4">
      <w:pPr>
        <w:pStyle w:val="ListParagraph"/>
        <w:ind w:left="720" w:firstLineChars="0" w:firstLine="0"/>
        <w:rPr>
          <w:rFonts w:ascii="Times New Roman" w:hAnsi="Times New Roman" w:cs="Times New Roman"/>
          <w:sz w:val="24"/>
          <w:szCs w:val="24"/>
        </w:rPr>
      </w:pPr>
    </w:p>
    <w:p w14:paraId="4E3BBF79" w14:textId="77777777" w:rsidR="003C02C4" w:rsidRPr="00AA35E0" w:rsidRDefault="003C02C4" w:rsidP="003C02C4">
      <w:pPr>
        <w:pStyle w:val="ListParagraph"/>
        <w:ind w:left="720" w:firstLineChars="0" w:firstLine="0"/>
        <w:rPr>
          <w:rFonts w:ascii="Times New Roman" w:hAnsi="Times New Roman" w:cs="Times New Roman"/>
          <w:sz w:val="24"/>
          <w:szCs w:val="24"/>
        </w:rPr>
      </w:pPr>
    </w:p>
    <w:p w14:paraId="3F5D7F3F" w14:textId="77777777" w:rsidR="00361788" w:rsidRPr="00AA35E0" w:rsidRDefault="00361788" w:rsidP="00361788">
      <w:pPr>
        <w:pStyle w:val="ListParagraph"/>
        <w:ind w:left="720" w:firstLineChars="0" w:firstLine="0"/>
        <w:rPr>
          <w:rFonts w:ascii="Times New Roman" w:hAnsi="Times New Roman" w:cs="Times New Roman"/>
          <w:sz w:val="24"/>
          <w:szCs w:val="24"/>
        </w:rPr>
      </w:pPr>
    </w:p>
    <w:p w14:paraId="3FDEFCFA" w14:textId="77777777" w:rsidR="003C02C4" w:rsidRPr="00AA35E0" w:rsidRDefault="003C02C4" w:rsidP="00361788">
      <w:pPr>
        <w:pStyle w:val="ListParagraph"/>
        <w:ind w:left="720" w:firstLineChars="0" w:firstLine="0"/>
        <w:rPr>
          <w:rFonts w:ascii="Times New Roman" w:hAnsi="Times New Roman" w:cs="Times New Roman"/>
          <w:sz w:val="24"/>
          <w:szCs w:val="24"/>
        </w:rPr>
      </w:pPr>
    </w:p>
    <w:p w14:paraId="689BE80C" w14:textId="77777777" w:rsidR="003C02C4" w:rsidRPr="00AA35E0" w:rsidRDefault="003C02C4" w:rsidP="00361788">
      <w:pPr>
        <w:pStyle w:val="ListParagraph"/>
        <w:ind w:left="720" w:firstLineChars="0" w:firstLine="0"/>
        <w:rPr>
          <w:rFonts w:ascii="Times New Roman" w:hAnsi="Times New Roman" w:cs="Times New Roman"/>
          <w:sz w:val="24"/>
          <w:szCs w:val="24"/>
        </w:rPr>
      </w:pPr>
    </w:p>
    <w:p w14:paraId="4021FD69" w14:textId="77777777" w:rsidR="003C02C4" w:rsidRPr="00AA35E0" w:rsidRDefault="003C02C4" w:rsidP="00361788">
      <w:pPr>
        <w:pStyle w:val="ListParagraph"/>
        <w:ind w:left="720" w:firstLineChars="0" w:firstLine="0"/>
        <w:rPr>
          <w:rFonts w:ascii="Times New Roman" w:hAnsi="Times New Roman" w:cs="Times New Roman"/>
          <w:sz w:val="24"/>
          <w:szCs w:val="24"/>
        </w:rPr>
      </w:pPr>
    </w:p>
    <w:p w14:paraId="663731B8" w14:textId="77777777" w:rsidR="003C02C4" w:rsidRPr="00AA35E0" w:rsidRDefault="003C02C4" w:rsidP="00361788">
      <w:pPr>
        <w:pStyle w:val="ListParagraph"/>
        <w:ind w:left="720" w:firstLineChars="0" w:firstLine="0"/>
        <w:rPr>
          <w:rFonts w:ascii="Times New Roman" w:hAnsi="Times New Roman" w:cs="Times New Roman"/>
          <w:sz w:val="24"/>
          <w:szCs w:val="24"/>
        </w:rPr>
      </w:pPr>
    </w:p>
    <w:p w14:paraId="730371F1" w14:textId="77777777" w:rsidR="003C02C4" w:rsidRPr="00AA35E0" w:rsidRDefault="003C02C4" w:rsidP="00361788">
      <w:pPr>
        <w:pStyle w:val="ListParagraph"/>
        <w:ind w:left="720" w:firstLineChars="0" w:firstLine="0"/>
        <w:rPr>
          <w:rFonts w:ascii="Times New Roman" w:hAnsi="Times New Roman" w:cs="Times New Roman"/>
          <w:sz w:val="24"/>
          <w:szCs w:val="24"/>
        </w:rPr>
      </w:pPr>
    </w:p>
    <w:p w14:paraId="1F264D52" w14:textId="56CF7F2A" w:rsidR="00361788" w:rsidRPr="00AA35E0" w:rsidRDefault="003C02C4" w:rsidP="00AD273D">
      <w:pPr>
        <w:pStyle w:val="ListParagraph"/>
        <w:numPr>
          <w:ilvl w:val="0"/>
          <w:numId w:val="3"/>
        </w:numPr>
        <w:ind w:firstLineChars="0"/>
        <w:rPr>
          <w:rFonts w:ascii="Times New Roman" w:hAnsi="Times New Roman" w:cs="Times New Roman"/>
          <w:sz w:val="24"/>
          <w:szCs w:val="24"/>
        </w:rPr>
      </w:pPr>
      <w:r w:rsidRPr="00AA35E0">
        <w:rPr>
          <w:rFonts w:ascii="Times New Roman" w:hAnsi="Times New Roman" w:cs="Times New Roman"/>
          <w:sz w:val="24"/>
          <w:szCs w:val="24"/>
        </w:rPr>
        <w:t xml:space="preserve"> </w:t>
      </w:r>
      <w:r w:rsidR="00AD273D" w:rsidRPr="00AA35E0">
        <w:rPr>
          <w:rFonts w:ascii="Times New Roman" w:hAnsi="Times New Roman" w:cs="Times New Roman"/>
          <w:sz w:val="24"/>
          <w:szCs w:val="24"/>
        </w:rPr>
        <w:t xml:space="preserve">Below table summarizes the regression results. As we can see, </w:t>
      </w:r>
      <w:r w:rsidR="00E81ABD" w:rsidRPr="00AA35E0">
        <w:rPr>
          <w:rFonts w:ascii="Times New Roman" w:hAnsi="Times New Roman" w:cs="Times New Roman"/>
          <w:sz w:val="24"/>
          <w:szCs w:val="24"/>
        </w:rPr>
        <w:t xml:space="preserve">only </w:t>
      </w:r>
      <w:r w:rsidR="00AD273D" w:rsidRPr="00AA35E0">
        <w:rPr>
          <w:rFonts w:ascii="Times New Roman" w:hAnsi="Times New Roman" w:cs="Times New Roman"/>
          <w:sz w:val="24"/>
          <w:szCs w:val="24"/>
        </w:rPr>
        <w:t xml:space="preserve">in </w:t>
      </w:r>
      <w:r w:rsidR="00E81ABD" w:rsidRPr="00AA35E0">
        <w:rPr>
          <w:rFonts w:ascii="Times New Roman" w:hAnsi="Times New Roman" w:cs="Times New Roman"/>
          <w:sz w:val="24"/>
          <w:szCs w:val="24"/>
        </w:rPr>
        <w:t xml:space="preserve">the first </w:t>
      </w:r>
      <w:r w:rsidR="00AD273D" w:rsidRPr="00AA35E0">
        <w:rPr>
          <w:rFonts w:ascii="Times New Roman" w:hAnsi="Times New Roman" w:cs="Times New Roman"/>
          <w:sz w:val="24"/>
          <w:szCs w:val="24"/>
        </w:rPr>
        <w:t>cases</w:t>
      </w:r>
      <w:r w:rsidR="00E81ABD" w:rsidRPr="00AA35E0">
        <w:rPr>
          <w:rFonts w:ascii="Times New Roman" w:hAnsi="Times New Roman" w:cs="Times New Roman"/>
          <w:sz w:val="24"/>
          <w:szCs w:val="24"/>
        </w:rPr>
        <w:t xml:space="preserve"> (1-1 strategy)</w:t>
      </w:r>
      <w:r w:rsidR="00AD273D" w:rsidRPr="00AA35E0">
        <w:rPr>
          <w:rFonts w:ascii="Times New Roman" w:hAnsi="Times New Roman" w:cs="Times New Roman"/>
          <w:sz w:val="24"/>
          <w:szCs w:val="24"/>
        </w:rPr>
        <w:t xml:space="preserve">, we observe a statistically and economically significant α. This indicates that </w:t>
      </w:r>
      <w:r w:rsidR="00E81ABD" w:rsidRPr="00AA35E0">
        <w:rPr>
          <w:rFonts w:ascii="Times New Roman" w:hAnsi="Times New Roman" w:cs="Times New Roman"/>
          <w:sz w:val="24"/>
          <w:szCs w:val="24"/>
        </w:rPr>
        <w:t>the additional UMD factor in the 4</w:t>
      </w:r>
      <w:r w:rsidR="00AD273D" w:rsidRPr="00AA35E0">
        <w:rPr>
          <w:rFonts w:ascii="Times New Roman" w:hAnsi="Times New Roman" w:cs="Times New Roman"/>
          <w:sz w:val="24"/>
          <w:szCs w:val="24"/>
        </w:rPr>
        <w:t xml:space="preserve">-factor model </w:t>
      </w:r>
      <w:r w:rsidR="00E81ABD" w:rsidRPr="00AA35E0">
        <w:rPr>
          <w:rFonts w:ascii="Times New Roman" w:hAnsi="Times New Roman" w:cs="Times New Roman"/>
          <w:sz w:val="24"/>
          <w:szCs w:val="24"/>
        </w:rPr>
        <w:t xml:space="preserve">captures the returns of 12-1 strategy and 12-2 strategy but fails to </w:t>
      </w:r>
      <w:r w:rsidR="00AD273D" w:rsidRPr="00AA35E0">
        <w:rPr>
          <w:rFonts w:ascii="Times New Roman" w:hAnsi="Times New Roman" w:cs="Times New Roman"/>
          <w:sz w:val="24"/>
          <w:szCs w:val="24"/>
        </w:rPr>
        <w:t xml:space="preserve">capture the abnormal return achieved through the </w:t>
      </w:r>
      <w:r w:rsidR="00E81ABD" w:rsidRPr="00AA35E0">
        <w:rPr>
          <w:rFonts w:ascii="Times New Roman" w:hAnsi="Times New Roman" w:cs="Times New Roman"/>
          <w:sz w:val="24"/>
          <w:szCs w:val="24"/>
        </w:rPr>
        <w:t>1-1 strategy</w:t>
      </w:r>
      <w:r w:rsidR="00AD273D" w:rsidRPr="00AA35E0">
        <w:rPr>
          <w:rFonts w:ascii="Times New Roman" w:hAnsi="Times New Roman" w:cs="Times New Roman"/>
          <w:sz w:val="24"/>
          <w:szCs w:val="24"/>
        </w:rPr>
        <w:t>.</w:t>
      </w:r>
      <w:r w:rsidR="00E81ABD" w:rsidRPr="00AA35E0">
        <w:rPr>
          <w:rFonts w:ascii="Times New Roman" w:hAnsi="Times New Roman" w:cs="Times New Roman"/>
          <w:sz w:val="24"/>
          <w:szCs w:val="24"/>
        </w:rPr>
        <w:t xml:space="preserve"> This is consistent with how the UMD portfolio is created, since </w:t>
      </w:r>
      <w:r w:rsidR="0001363E" w:rsidRPr="00AA35E0">
        <w:rPr>
          <w:rFonts w:ascii="Times New Roman" w:hAnsi="Times New Roman" w:cs="Times New Roman" w:hint="eastAsia"/>
          <w:sz w:val="24"/>
          <w:szCs w:val="24"/>
        </w:rPr>
        <w:t>this</w:t>
      </w:r>
      <w:r w:rsidR="0001363E" w:rsidRPr="00AA35E0">
        <w:rPr>
          <w:rFonts w:ascii="Times New Roman" w:hAnsi="Times New Roman" w:cs="Times New Roman"/>
          <w:sz w:val="24"/>
          <w:szCs w:val="24"/>
        </w:rPr>
        <w:t xml:space="preserve"> portfolio is constructed based on the returns from prior 2-12 months, the same as the 12-2 strategy.</w:t>
      </w:r>
    </w:p>
    <w:p w14:paraId="49AFE473" w14:textId="77777777" w:rsidR="003C02C4" w:rsidRPr="00AA35E0" w:rsidRDefault="003C02C4" w:rsidP="003C02C4"/>
    <w:tbl>
      <w:tblPr>
        <w:tblW w:w="7640" w:type="dxa"/>
        <w:tblInd w:w="1360" w:type="dxa"/>
        <w:tblLayout w:type="fixed"/>
        <w:tblLook w:val="04A0" w:firstRow="1" w:lastRow="0" w:firstColumn="1" w:lastColumn="0" w:noHBand="0" w:noVBand="1"/>
      </w:tblPr>
      <w:tblGrid>
        <w:gridCol w:w="960"/>
        <w:gridCol w:w="1113"/>
        <w:gridCol w:w="1113"/>
        <w:gridCol w:w="1114"/>
        <w:gridCol w:w="1113"/>
        <w:gridCol w:w="1113"/>
        <w:gridCol w:w="1114"/>
      </w:tblGrid>
      <w:tr w:rsidR="00AD273D" w:rsidRPr="00AA35E0" w14:paraId="1F24E47B" w14:textId="77777777" w:rsidTr="00372A88">
        <w:trPr>
          <w:trHeight w:val="300"/>
        </w:trPr>
        <w:tc>
          <w:tcPr>
            <w:tcW w:w="960" w:type="dxa"/>
            <w:tcBorders>
              <w:top w:val="nil"/>
              <w:left w:val="nil"/>
              <w:right w:val="nil"/>
            </w:tcBorders>
            <w:shd w:val="clear" w:color="auto" w:fill="auto"/>
            <w:noWrap/>
            <w:vAlign w:val="center"/>
          </w:tcPr>
          <w:p w14:paraId="30913277" w14:textId="77777777" w:rsidR="00AD273D" w:rsidRPr="00AA35E0" w:rsidRDefault="00AD273D" w:rsidP="00AD273D">
            <w:pPr>
              <w:jc w:val="center"/>
              <w:rPr>
                <w:color w:val="000000"/>
                <w:lang w:eastAsia="ko-KR"/>
              </w:rPr>
            </w:pPr>
          </w:p>
        </w:tc>
        <w:tc>
          <w:tcPr>
            <w:tcW w:w="2226" w:type="dxa"/>
            <w:gridSpan w:val="2"/>
            <w:tcBorders>
              <w:top w:val="nil"/>
              <w:left w:val="single" w:sz="8" w:space="0" w:color="auto"/>
              <w:right w:val="single" w:sz="8" w:space="0" w:color="auto"/>
            </w:tcBorders>
            <w:shd w:val="clear" w:color="auto" w:fill="auto"/>
            <w:noWrap/>
            <w:vAlign w:val="center"/>
          </w:tcPr>
          <w:p w14:paraId="2122A6DD" w14:textId="7D2D29C4" w:rsidR="00AD273D" w:rsidRPr="00AA35E0" w:rsidRDefault="00AD273D" w:rsidP="00AD273D">
            <w:pPr>
              <w:jc w:val="center"/>
              <w:rPr>
                <w:b/>
                <w:bCs/>
                <w:color w:val="000000"/>
                <w:lang w:eastAsia="ko-KR"/>
              </w:rPr>
            </w:pPr>
            <w:r w:rsidRPr="00AA35E0">
              <w:rPr>
                <w:b/>
                <w:bCs/>
                <w:color w:val="000000"/>
                <w:lang w:eastAsia="ko-KR"/>
              </w:rPr>
              <w:t>1-1 strategy</w:t>
            </w:r>
          </w:p>
        </w:tc>
        <w:tc>
          <w:tcPr>
            <w:tcW w:w="2227" w:type="dxa"/>
            <w:gridSpan w:val="2"/>
            <w:tcBorders>
              <w:top w:val="nil"/>
              <w:left w:val="nil"/>
              <w:right w:val="nil"/>
            </w:tcBorders>
            <w:shd w:val="clear" w:color="auto" w:fill="auto"/>
            <w:noWrap/>
            <w:vAlign w:val="center"/>
          </w:tcPr>
          <w:p w14:paraId="3FCFF160" w14:textId="48A83CB0" w:rsidR="00AD273D" w:rsidRPr="00AA35E0" w:rsidRDefault="00AD273D" w:rsidP="00AD273D">
            <w:pPr>
              <w:jc w:val="center"/>
              <w:rPr>
                <w:b/>
                <w:bCs/>
                <w:color w:val="000000"/>
                <w:lang w:eastAsia="ko-KR"/>
              </w:rPr>
            </w:pPr>
            <w:r w:rsidRPr="00AA35E0">
              <w:rPr>
                <w:b/>
                <w:bCs/>
                <w:color w:val="000000"/>
                <w:lang w:eastAsia="ko-KR"/>
              </w:rPr>
              <w:t>12-1 strategy</w:t>
            </w:r>
          </w:p>
        </w:tc>
        <w:tc>
          <w:tcPr>
            <w:tcW w:w="2227" w:type="dxa"/>
            <w:gridSpan w:val="2"/>
            <w:tcBorders>
              <w:top w:val="nil"/>
              <w:left w:val="single" w:sz="8" w:space="0" w:color="auto"/>
              <w:right w:val="nil"/>
            </w:tcBorders>
            <w:shd w:val="clear" w:color="auto" w:fill="auto"/>
            <w:noWrap/>
            <w:vAlign w:val="center"/>
          </w:tcPr>
          <w:p w14:paraId="6D5CE0B1" w14:textId="792D08C5" w:rsidR="00AD273D" w:rsidRPr="00AA35E0" w:rsidRDefault="00AD273D" w:rsidP="00AD273D">
            <w:pPr>
              <w:jc w:val="center"/>
              <w:rPr>
                <w:b/>
                <w:bCs/>
                <w:color w:val="000000"/>
                <w:lang w:eastAsia="ko-KR"/>
              </w:rPr>
            </w:pPr>
            <w:r w:rsidRPr="00AA35E0">
              <w:rPr>
                <w:b/>
                <w:bCs/>
                <w:color w:val="000000"/>
                <w:lang w:eastAsia="ko-KR"/>
              </w:rPr>
              <w:t>12-2 strategy</w:t>
            </w:r>
          </w:p>
        </w:tc>
      </w:tr>
      <w:tr w:rsidR="00AD273D" w:rsidRPr="00AA35E0" w14:paraId="0B1E2EA9" w14:textId="77777777" w:rsidTr="00372A88">
        <w:trPr>
          <w:trHeight w:val="300"/>
        </w:trPr>
        <w:tc>
          <w:tcPr>
            <w:tcW w:w="960" w:type="dxa"/>
            <w:tcBorders>
              <w:left w:val="nil"/>
              <w:bottom w:val="single" w:sz="8" w:space="0" w:color="auto"/>
              <w:right w:val="nil"/>
            </w:tcBorders>
            <w:shd w:val="clear" w:color="auto" w:fill="auto"/>
            <w:noWrap/>
            <w:vAlign w:val="center"/>
            <w:hideMark/>
          </w:tcPr>
          <w:p w14:paraId="41A4DBE6" w14:textId="4FB66FCB" w:rsidR="00AD273D" w:rsidRPr="00AA35E0" w:rsidRDefault="00AD273D" w:rsidP="00AD273D">
            <w:pPr>
              <w:jc w:val="center"/>
              <w:rPr>
                <w:color w:val="000000"/>
                <w:lang w:eastAsia="ko-KR"/>
              </w:rPr>
            </w:pPr>
          </w:p>
        </w:tc>
        <w:tc>
          <w:tcPr>
            <w:tcW w:w="1113" w:type="dxa"/>
            <w:tcBorders>
              <w:left w:val="single" w:sz="8" w:space="0" w:color="auto"/>
              <w:bottom w:val="single" w:sz="8" w:space="0" w:color="auto"/>
              <w:right w:val="nil"/>
            </w:tcBorders>
            <w:shd w:val="clear" w:color="auto" w:fill="auto"/>
            <w:noWrap/>
            <w:vAlign w:val="center"/>
            <w:hideMark/>
          </w:tcPr>
          <w:p w14:paraId="6C94CD5C" w14:textId="77777777" w:rsidR="00AD273D" w:rsidRPr="00AA35E0" w:rsidRDefault="00AD273D" w:rsidP="00AD273D">
            <w:pPr>
              <w:jc w:val="center"/>
              <w:rPr>
                <w:b/>
                <w:bCs/>
                <w:color w:val="000000"/>
                <w:lang w:eastAsia="ko-KR"/>
              </w:rPr>
            </w:pPr>
            <w:r w:rsidRPr="00AA35E0">
              <w:rPr>
                <w:b/>
                <w:bCs/>
                <w:color w:val="000000"/>
                <w:lang w:eastAsia="ko-KR"/>
              </w:rPr>
              <w:t>estimate</w:t>
            </w:r>
          </w:p>
        </w:tc>
        <w:tc>
          <w:tcPr>
            <w:tcW w:w="1113" w:type="dxa"/>
            <w:tcBorders>
              <w:left w:val="nil"/>
              <w:bottom w:val="single" w:sz="8" w:space="0" w:color="auto"/>
              <w:right w:val="single" w:sz="8" w:space="0" w:color="auto"/>
            </w:tcBorders>
            <w:shd w:val="clear" w:color="auto" w:fill="auto"/>
            <w:noWrap/>
            <w:vAlign w:val="center"/>
            <w:hideMark/>
          </w:tcPr>
          <w:p w14:paraId="23973537" w14:textId="77777777" w:rsidR="00AD273D" w:rsidRPr="00AA35E0" w:rsidRDefault="00AD273D" w:rsidP="00AD273D">
            <w:pPr>
              <w:jc w:val="center"/>
              <w:rPr>
                <w:b/>
                <w:bCs/>
                <w:color w:val="000000"/>
                <w:lang w:eastAsia="ko-KR"/>
              </w:rPr>
            </w:pPr>
            <w:r w:rsidRPr="00AA35E0">
              <w:rPr>
                <w:b/>
                <w:bCs/>
                <w:color w:val="000000"/>
                <w:lang w:eastAsia="ko-KR"/>
              </w:rPr>
              <w:t>t-stat</w:t>
            </w:r>
          </w:p>
        </w:tc>
        <w:tc>
          <w:tcPr>
            <w:tcW w:w="1114" w:type="dxa"/>
            <w:tcBorders>
              <w:left w:val="nil"/>
              <w:bottom w:val="single" w:sz="8" w:space="0" w:color="auto"/>
              <w:right w:val="nil"/>
            </w:tcBorders>
            <w:shd w:val="clear" w:color="auto" w:fill="auto"/>
            <w:noWrap/>
            <w:vAlign w:val="center"/>
            <w:hideMark/>
          </w:tcPr>
          <w:p w14:paraId="7AE13CF1" w14:textId="77777777" w:rsidR="00AD273D" w:rsidRPr="00AA35E0" w:rsidRDefault="00AD273D" w:rsidP="00AD273D">
            <w:pPr>
              <w:jc w:val="center"/>
              <w:rPr>
                <w:b/>
                <w:bCs/>
                <w:color w:val="000000"/>
                <w:lang w:eastAsia="ko-KR"/>
              </w:rPr>
            </w:pPr>
            <w:r w:rsidRPr="00AA35E0">
              <w:rPr>
                <w:b/>
                <w:bCs/>
                <w:color w:val="000000"/>
                <w:lang w:eastAsia="ko-KR"/>
              </w:rPr>
              <w:t>estimate</w:t>
            </w:r>
          </w:p>
        </w:tc>
        <w:tc>
          <w:tcPr>
            <w:tcW w:w="1113" w:type="dxa"/>
            <w:tcBorders>
              <w:left w:val="nil"/>
              <w:bottom w:val="single" w:sz="8" w:space="0" w:color="auto"/>
              <w:right w:val="nil"/>
            </w:tcBorders>
            <w:shd w:val="clear" w:color="auto" w:fill="auto"/>
            <w:noWrap/>
            <w:vAlign w:val="center"/>
            <w:hideMark/>
          </w:tcPr>
          <w:p w14:paraId="2DEBF212" w14:textId="77777777" w:rsidR="00AD273D" w:rsidRPr="00AA35E0" w:rsidRDefault="00AD273D" w:rsidP="00AD273D">
            <w:pPr>
              <w:jc w:val="center"/>
              <w:rPr>
                <w:b/>
                <w:bCs/>
                <w:color w:val="000000"/>
                <w:lang w:eastAsia="ko-KR"/>
              </w:rPr>
            </w:pPr>
            <w:r w:rsidRPr="00AA35E0">
              <w:rPr>
                <w:b/>
                <w:bCs/>
                <w:color w:val="000000"/>
                <w:lang w:eastAsia="ko-KR"/>
              </w:rPr>
              <w:t>t-stat</w:t>
            </w:r>
          </w:p>
        </w:tc>
        <w:tc>
          <w:tcPr>
            <w:tcW w:w="1113" w:type="dxa"/>
            <w:tcBorders>
              <w:left w:val="single" w:sz="8" w:space="0" w:color="auto"/>
              <w:bottom w:val="single" w:sz="8" w:space="0" w:color="auto"/>
              <w:right w:val="nil"/>
            </w:tcBorders>
            <w:shd w:val="clear" w:color="auto" w:fill="auto"/>
            <w:noWrap/>
            <w:vAlign w:val="center"/>
            <w:hideMark/>
          </w:tcPr>
          <w:p w14:paraId="4FB27494" w14:textId="77777777" w:rsidR="00AD273D" w:rsidRPr="00AA35E0" w:rsidRDefault="00AD273D" w:rsidP="00AD273D">
            <w:pPr>
              <w:jc w:val="center"/>
              <w:rPr>
                <w:b/>
                <w:bCs/>
                <w:color w:val="000000"/>
                <w:lang w:eastAsia="ko-KR"/>
              </w:rPr>
            </w:pPr>
            <w:r w:rsidRPr="00AA35E0">
              <w:rPr>
                <w:b/>
                <w:bCs/>
                <w:color w:val="000000"/>
                <w:lang w:eastAsia="ko-KR"/>
              </w:rPr>
              <w:t>estimate</w:t>
            </w:r>
          </w:p>
        </w:tc>
        <w:tc>
          <w:tcPr>
            <w:tcW w:w="1114" w:type="dxa"/>
            <w:tcBorders>
              <w:left w:val="nil"/>
              <w:bottom w:val="single" w:sz="8" w:space="0" w:color="auto"/>
              <w:right w:val="nil"/>
            </w:tcBorders>
            <w:shd w:val="clear" w:color="auto" w:fill="auto"/>
            <w:noWrap/>
            <w:vAlign w:val="center"/>
            <w:hideMark/>
          </w:tcPr>
          <w:p w14:paraId="0C2F3C04" w14:textId="77777777" w:rsidR="00AD273D" w:rsidRPr="00AA35E0" w:rsidRDefault="00AD273D" w:rsidP="00AD273D">
            <w:pPr>
              <w:jc w:val="center"/>
              <w:rPr>
                <w:b/>
                <w:bCs/>
                <w:color w:val="000000"/>
                <w:lang w:eastAsia="ko-KR"/>
              </w:rPr>
            </w:pPr>
            <w:r w:rsidRPr="00AA35E0">
              <w:rPr>
                <w:b/>
                <w:bCs/>
                <w:color w:val="000000"/>
                <w:lang w:eastAsia="ko-KR"/>
              </w:rPr>
              <w:t>t-stat</w:t>
            </w:r>
          </w:p>
        </w:tc>
      </w:tr>
      <w:tr w:rsidR="00AD273D" w:rsidRPr="00AA35E0" w14:paraId="32AE3EA6" w14:textId="77777777" w:rsidTr="00372A88">
        <w:trPr>
          <w:trHeight w:val="288"/>
        </w:trPr>
        <w:tc>
          <w:tcPr>
            <w:tcW w:w="960" w:type="dxa"/>
            <w:tcBorders>
              <w:top w:val="nil"/>
              <w:left w:val="nil"/>
              <w:bottom w:val="nil"/>
              <w:right w:val="nil"/>
            </w:tcBorders>
            <w:shd w:val="clear" w:color="auto" w:fill="auto"/>
            <w:noWrap/>
            <w:vAlign w:val="bottom"/>
            <w:hideMark/>
          </w:tcPr>
          <w:p w14:paraId="1FF0CEA1" w14:textId="439D1057" w:rsidR="00AD273D" w:rsidRPr="00AA35E0" w:rsidRDefault="00AD273D" w:rsidP="00AD273D">
            <w:pPr>
              <w:rPr>
                <w:b/>
                <w:bCs/>
                <w:color w:val="000000"/>
                <w:lang w:eastAsia="ko-KR"/>
              </w:rPr>
            </w:pPr>
            <m:oMathPara>
              <m:oMath>
                <m:r>
                  <m:rPr>
                    <m:sty m:val="b"/>
                  </m:rPr>
                  <w:rPr>
                    <w:rFonts w:ascii="Cambria Math" w:hAnsi="Cambria Math"/>
                  </w:rPr>
                  <m:t>α</m:t>
                </m:r>
              </m:oMath>
            </m:oMathPara>
          </w:p>
        </w:tc>
        <w:tc>
          <w:tcPr>
            <w:tcW w:w="1113" w:type="dxa"/>
            <w:tcBorders>
              <w:top w:val="nil"/>
              <w:left w:val="single" w:sz="8" w:space="0" w:color="auto"/>
              <w:bottom w:val="nil"/>
              <w:right w:val="nil"/>
            </w:tcBorders>
            <w:shd w:val="clear" w:color="auto" w:fill="auto"/>
            <w:noWrap/>
            <w:vAlign w:val="bottom"/>
            <w:hideMark/>
          </w:tcPr>
          <w:p w14:paraId="7433CA08" w14:textId="77777777" w:rsidR="00AD273D" w:rsidRPr="00AA35E0" w:rsidRDefault="00AD273D" w:rsidP="00AD273D">
            <w:pPr>
              <w:jc w:val="right"/>
              <w:rPr>
                <w:color w:val="000000"/>
                <w:lang w:eastAsia="ko-KR"/>
              </w:rPr>
            </w:pPr>
            <w:r w:rsidRPr="00AA35E0">
              <w:rPr>
                <w:color w:val="000000"/>
                <w:lang w:eastAsia="ko-KR"/>
              </w:rPr>
              <w:t>0.563</w:t>
            </w:r>
          </w:p>
        </w:tc>
        <w:tc>
          <w:tcPr>
            <w:tcW w:w="1113" w:type="dxa"/>
            <w:tcBorders>
              <w:top w:val="nil"/>
              <w:left w:val="nil"/>
              <w:bottom w:val="nil"/>
              <w:right w:val="single" w:sz="8" w:space="0" w:color="auto"/>
            </w:tcBorders>
            <w:shd w:val="clear" w:color="auto" w:fill="auto"/>
            <w:noWrap/>
            <w:vAlign w:val="bottom"/>
            <w:hideMark/>
          </w:tcPr>
          <w:p w14:paraId="01DA830E" w14:textId="77777777" w:rsidR="00AD273D" w:rsidRPr="00AA35E0" w:rsidRDefault="00AD273D" w:rsidP="00AD273D">
            <w:pPr>
              <w:jc w:val="right"/>
              <w:rPr>
                <w:b/>
                <w:color w:val="000000"/>
                <w:lang w:eastAsia="ko-KR"/>
              </w:rPr>
            </w:pPr>
            <w:r w:rsidRPr="00AA35E0">
              <w:rPr>
                <w:b/>
                <w:color w:val="000000"/>
                <w:lang w:eastAsia="ko-KR"/>
              </w:rPr>
              <w:t>3.294</w:t>
            </w:r>
          </w:p>
        </w:tc>
        <w:tc>
          <w:tcPr>
            <w:tcW w:w="1114" w:type="dxa"/>
            <w:tcBorders>
              <w:top w:val="nil"/>
              <w:left w:val="nil"/>
              <w:bottom w:val="nil"/>
              <w:right w:val="nil"/>
            </w:tcBorders>
            <w:shd w:val="clear" w:color="auto" w:fill="auto"/>
            <w:noWrap/>
            <w:vAlign w:val="bottom"/>
            <w:hideMark/>
          </w:tcPr>
          <w:p w14:paraId="36E26429" w14:textId="77777777" w:rsidR="00AD273D" w:rsidRPr="00AA35E0" w:rsidRDefault="00AD273D" w:rsidP="00AD273D">
            <w:pPr>
              <w:jc w:val="right"/>
              <w:rPr>
                <w:color w:val="000000"/>
                <w:lang w:eastAsia="ko-KR"/>
              </w:rPr>
            </w:pPr>
            <w:r w:rsidRPr="00AA35E0">
              <w:rPr>
                <w:color w:val="000000"/>
                <w:lang w:eastAsia="ko-KR"/>
              </w:rPr>
              <w:t>0.078</w:t>
            </w:r>
          </w:p>
        </w:tc>
        <w:tc>
          <w:tcPr>
            <w:tcW w:w="1113" w:type="dxa"/>
            <w:tcBorders>
              <w:top w:val="nil"/>
              <w:left w:val="nil"/>
              <w:bottom w:val="nil"/>
              <w:right w:val="nil"/>
            </w:tcBorders>
            <w:shd w:val="clear" w:color="auto" w:fill="auto"/>
            <w:noWrap/>
            <w:vAlign w:val="bottom"/>
            <w:hideMark/>
          </w:tcPr>
          <w:p w14:paraId="26295BF4" w14:textId="77777777" w:rsidR="00AD273D" w:rsidRPr="00AA35E0" w:rsidRDefault="00AD273D" w:rsidP="00AD273D">
            <w:pPr>
              <w:jc w:val="right"/>
              <w:rPr>
                <w:color w:val="000000"/>
                <w:lang w:eastAsia="ko-KR"/>
              </w:rPr>
            </w:pPr>
            <w:r w:rsidRPr="00AA35E0">
              <w:rPr>
                <w:color w:val="000000"/>
                <w:lang w:eastAsia="ko-KR"/>
              </w:rPr>
              <w:t>0.561</w:t>
            </w:r>
          </w:p>
        </w:tc>
        <w:tc>
          <w:tcPr>
            <w:tcW w:w="1113" w:type="dxa"/>
            <w:tcBorders>
              <w:top w:val="nil"/>
              <w:left w:val="single" w:sz="8" w:space="0" w:color="auto"/>
              <w:bottom w:val="nil"/>
              <w:right w:val="nil"/>
            </w:tcBorders>
            <w:shd w:val="clear" w:color="auto" w:fill="auto"/>
            <w:noWrap/>
            <w:vAlign w:val="bottom"/>
            <w:hideMark/>
          </w:tcPr>
          <w:p w14:paraId="1BB96F11" w14:textId="77777777" w:rsidR="00AD273D" w:rsidRPr="00AA35E0" w:rsidRDefault="00AD273D" w:rsidP="00AD273D">
            <w:pPr>
              <w:jc w:val="right"/>
              <w:rPr>
                <w:color w:val="000000"/>
                <w:lang w:eastAsia="ko-KR"/>
              </w:rPr>
            </w:pPr>
            <w:r w:rsidRPr="00AA35E0">
              <w:rPr>
                <w:color w:val="000000"/>
                <w:lang w:eastAsia="ko-KR"/>
              </w:rPr>
              <w:t>0.143</w:t>
            </w:r>
          </w:p>
        </w:tc>
        <w:tc>
          <w:tcPr>
            <w:tcW w:w="1114" w:type="dxa"/>
            <w:tcBorders>
              <w:top w:val="nil"/>
              <w:left w:val="nil"/>
              <w:bottom w:val="nil"/>
              <w:right w:val="nil"/>
            </w:tcBorders>
            <w:shd w:val="clear" w:color="auto" w:fill="auto"/>
            <w:noWrap/>
            <w:vAlign w:val="bottom"/>
            <w:hideMark/>
          </w:tcPr>
          <w:p w14:paraId="33E6A755" w14:textId="77777777" w:rsidR="00AD273D" w:rsidRPr="00AA35E0" w:rsidRDefault="00AD273D" w:rsidP="00AD273D">
            <w:pPr>
              <w:jc w:val="right"/>
              <w:rPr>
                <w:color w:val="000000"/>
                <w:lang w:eastAsia="ko-KR"/>
              </w:rPr>
            </w:pPr>
            <w:r w:rsidRPr="00AA35E0">
              <w:rPr>
                <w:color w:val="000000"/>
                <w:lang w:eastAsia="ko-KR"/>
              </w:rPr>
              <w:t>1.025</w:t>
            </w:r>
          </w:p>
        </w:tc>
      </w:tr>
      <w:tr w:rsidR="00AD273D" w:rsidRPr="00AA35E0" w14:paraId="0F2C8B6F" w14:textId="77777777" w:rsidTr="00372A88">
        <w:trPr>
          <w:trHeight w:val="288"/>
        </w:trPr>
        <w:tc>
          <w:tcPr>
            <w:tcW w:w="960" w:type="dxa"/>
            <w:tcBorders>
              <w:top w:val="nil"/>
              <w:left w:val="nil"/>
              <w:bottom w:val="nil"/>
              <w:right w:val="nil"/>
            </w:tcBorders>
            <w:shd w:val="clear" w:color="auto" w:fill="auto"/>
            <w:noWrap/>
            <w:vAlign w:val="center"/>
            <w:hideMark/>
          </w:tcPr>
          <w:p w14:paraId="61A626D1" w14:textId="77777777" w:rsidR="00AD273D" w:rsidRPr="00AA35E0" w:rsidRDefault="00AD273D" w:rsidP="00CA7BF2">
            <w:pPr>
              <w:jc w:val="center"/>
              <w:rPr>
                <w:b/>
                <w:bCs/>
                <w:color w:val="000000"/>
                <w:lang w:eastAsia="ko-KR"/>
              </w:rPr>
            </w:pPr>
            <w:r w:rsidRPr="00AA35E0">
              <w:rPr>
                <w:b/>
                <w:bCs/>
                <w:color w:val="000000"/>
                <w:lang w:eastAsia="ko-KR"/>
              </w:rPr>
              <w:t>RMRF</w:t>
            </w:r>
          </w:p>
        </w:tc>
        <w:tc>
          <w:tcPr>
            <w:tcW w:w="1113" w:type="dxa"/>
            <w:tcBorders>
              <w:top w:val="nil"/>
              <w:left w:val="single" w:sz="8" w:space="0" w:color="auto"/>
              <w:bottom w:val="nil"/>
              <w:right w:val="nil"/>
            </w:tcBorders>
            <w:shd w:val="clear" w:color="auto" w:fill="auto"/>
            <w:noWrap/>
            <w:vAlign w:val="bottom"/>
            <w:hideMark/>
          </w:tcPr>
          <w:p w14:paraId="3E2C08D3" w14:textId="77777777" w:rsidR="00AD273D" w:rsidRPr="00AA35E0" w:rsidRDefault="00AD273D" w:rsidP="00AD273D">
            <w:pPr>
              <w:jc w:val="right"/>
              <w:rPr>
                <w:color w:val="000000"/>
                <w:lang w:eastAsia="ko-KR"/>
              </w:rPr>
            </w:pPr>
            <w:r w:rsidRPr="00AA35E0">
              <w:rPr>
                <w:color w:val="000000"/>
                <w:lang w:eastAsia="ko-KR"/>
              </w:rPr>
              <w:t>-0.032</w:t>
            </w:r>
          </w:p>
        </w:tc>
        <w:tc>
          <w:tcPr>
            <w:tcW w:w="1113" w:type="dxa"/>
            <w:tcBorders>
              <w:top w:val="nil"/>
              <w:left w:val="nil"/>
              <w:bottom w:val="nil"/>
              <w:right w:val="single" w:sz="8" w:space="0" w:color="auto"/>
            </w:tcBorders>
            <w:shd w:val="clear" w:color="auto" w:fill="auto"/>
            <w:noWrap/>
            <w:vAlign w:val="bottom"/>
            <w:hideMark/>
          </w:tcPr>
          <w:p w14:paraId="3A5B6BE2" w14:textId="77777777" w:rsidR="00AD273D" w:rsidRPr="00AA35E0" w:rsidRDefault="00AD273D" w:rsidP="00AD273D">
            <w:pPr>
              <w:jc w:val="right"/>
              <w:rPr>
                <w:color w:val="000000"/>
                <w:lang w:eastAsia="ko-KR"/>
              </w:rPr>
            </w:pPr>
            <w:r w:rsidRPr="00AA35E0">
              <w:rPr>
                <w:color w:val="000000"/>
                <w:lang w:eastAsia="ko-KR"/>
              </w:rPr>
              <w:t>-0.933</w:t>
            </w:r>
          </w:p>
        </w:tc>
        <w:tc>
          <w:tcPr>
            <w:tcW w:w="1114" w:type="dxa"/>
            <w:tcBorders>
              <w:top w:val="nil"/>
              <w:left w:val="nil"/>
              <w:bottom w:val="nil"/>
              <w:right w:val="nil"/>
            </w:tcBorders>
            <w:shd w:val="clear" w:color="auto" w:fill="auto"/>
            <w:noWrap/>
            <w:vAlign w:val="bottom"/>
            <w:hideMark/>
          </w:tcPr>
          <w:p w14:paraId="60467FC9" w14:textId="77777777" w:rsidR="00AD273D" w:rsidRPr="00AA35E0" w:rsidRDefault="00AD273D" w:rsidP="00AD273D">
            <w:pPr>
              <w:jc w:val="right"/>
              <w:rPr>
                <w:color w:val="000000"/>
                <w:lang w:eastAsia="ko-KR"/>
              </w:rPr>
            </w:pPr>
            <w:r w:rsidRPr="00AA35E0">
              <w:rPr>
                <w:color w:val="000000"/>
                <w:lang w:eastAsia="ko-KR"/>
              </w:rPr>
              <w:t>0.075</w:t>
            </w:r>
          </w:p>
        </w:tc>
        <w:tc>
          <w:tcPr>
            <w:tcW w:w="1113" w:type="dxa"/>
            <w:tcBorders>
              <w:top w:val="nil"/>
              <w:left w:val="nil"/>
              <w:bottom w:val="nil"/>
              <w:right w:val="nil"/>
            </w:tcBorders>
            <w:shd w:val="clear" w:color="auto" w:fill="auto"/>
            <w:noWrap/>
            <w:vAlign w:val="bottom"/>
            <w:hideMark/>
          </w:tcPr>
          <w:p w14:paraId="0BA13530" w14:textId="77777777" w:rsidR="00AD273D" w:rsidRPr="00AA35E0" w:rsidRDefault="00AD273D" w:rsidP="00AD273D">
            <w:pPr>
              <w:jc w:val="right"/>
              <w:rPr>
                <w:color w:val="000000"/>
                <w:lang w:eastAsia="ko-KR"/>
              </w:rPr>
            </w:pPr>
            <w:r w:rsidRPr="00AA35E0">
              <w:rPr>
                <w:color w:val="000000"/>
                <w:lang w:eastAsia="ko-KR"/>
              </w:rPr>
              <w:t>2.678</w:t>
            </w:r>
          </w:p>
        </w:tc>
        <w:tc>
          <w:tcPr>
            <w:tcW w:w="1113" w:type="dxa"/>
            <w:tcBorders>
              <w:top w:val="nil"/>
              <w:left w:val="single" w:sz="8" w:space="0" w:color="auto"/>
              <w:bottom w:val="nil"/>
              <w:right w:val="nil"/>
            </w:tcBorders>
            <w:shd w:val="clear" w:color="auto" w:fill="auto"/>
            <w:noWrap/>
            <w:vAlign w:val="bottom"/>
            <w:hideMark/>
          </w:tcPr>
          <w:p w14:paraId="42822CE2" w14:textId="77777777" w:rsidR="00AD273D" w:rsidRPr="00AA35E0" w:rsidRDefault="00AD273D" w:rsidP="00AD273D">
            <w:pPr>
              <w:jc w:val="right"/>
              <w:rPr>
                <w:color w:val="000000"/>
                <w:lang w:eastAsia="ko-KR"/>
              </w:rPr>
            </w:pPr>
            <w:r w:rsidRPr="00AA35E0">
              <w:rPr>
                <w:color w:val="000000"/>
                <w:lang w:eastAsia="ko-KR"/>
              </w:rPr>
              <w:t>0.079</w:t>
            </w:r>
          </w:p>
        </w:tc>
        <w:tc>
          <w:tcPr>
            <w:tcW w:w="1114" w:type="dxa"/>
            <w:tcBorders>
              <w:top w:val="nil"/>
              <w:left w:val="nil"/>
              <w:bottom w:val="nil"/>
              <w:right w:val="nil"/>
            </w:tcBorders>
            <w:shd w:val="clear" w:color="auto" w:fill="auto"/>
            <w:noWrap/>
            <w:vAlign w:val="bottom"/>
            <w:hideMark/>
          </w:tcPr>
          <w:p w14:paraId="1700A7A8" w14:textId="77777777" w:rsidR="00AD273D" w:rsidRPr="00AA35E0" w:rsidRDefault="00AD273D" w:rsidP="00AD273D">
            <w:pPr>
              <w:jc w:val="right"/>
              <w:rPr>
                <w:color w:val="000000"/>
                <w:lang w:eastAsia="ko-KR"/>
              </w:rPr>
            </w:pPr>
            <w:r w:rsidRPr="00AA35E0">
              <w:rPr>
                <w:color w:val="000000"/>
                <w:lang w:eastAsia="ko-KR"/>
              </w:rPr>
              <w:t>2.834</w:t>
            </w:r>
          </w:p>
        </w:tc>
      </w:tr>
      <w:tr w:rsidR="00AD273D" w:rsidRPr="00AA35E0" w14:paraId="3B31EBDE" w14:textId="77777777" w:rsidTr="00372A88">
        <w:trPr>
          <w:trHeight w:val="288"/>
        </w:trPr>
        <w:tc>
          <w:tcPr>
            <w:tcW w:w="960" w:type="dxa"/>
            <w:tcBorders>
              <w:top w:val="nil"/>
              <w:left w:val="nil"/>
              <w:bottom w:val="nil"/>
              <w:right w:val="nil"/>
            </w:tcBorders>
            <w:shd w:val="clear" w:color="auto" w:fill="auto"/>
            <w:noWrap/>
            <w:vAlign w:val="center"/>
            <w:hideMark/>
          </w:tcPr>
          <w:p w14:paraId="3AEDEC07" w14:textId="77777777" w:rsidR="00AD273D" w:rsidRPr="00AA35E0" w:rsidRDefault="00AD273D" w:rsidP="00CA7BF2">
            <w:pPr>
              <w:jc w:val="center"/>
              <w:rPr>
                <w:b/>
                <w:bCs/>
                <w:color w:val="000000"/>
                <w:lang w:eastAsia="ko-KR"/>
              </w:rPr>
            </w:pPr>
            <w:r w:rsidRPr="00AA35E0">
              <w:rPr>
                <w:b/>
                <w:bCs/>
                <w:color w:val="000000"/>
                <w:lang w:eastAsia="ko-KR"/>
              </w:rPr>
              <w:t>SMB</w:t>
            </w:r>
          </w:p>
        </w:tc>
        <w:tc>
          <w:tcPr>
            <w:tcW w:w="1113" w:type="dxa"/>
            <w:tcBorders>
              <w:top w:val="nil"/>
              <w:left w:val="single" w:sz="8" w:space="0" w:color="auto"/>
              <w:bottom w:val="nil"/>
              <w:right w:val="nil"/>
            </w:tcBorders>
            <w:shd w:val="clear" w:color="auto" w:fill="auto"/>
            <w:noWrap/>
            <w:vAlign w:val="bottom"/>
            <w:hideMark/>
          </w:tcPr>
          <w:p w14:paraId="5484A60D" w14:textId="77777777" w:rsidR="00AD273D" w:rsidRPr="00AA35E0" w:rsidRDefault="00AD273D" w:rsidP="00AD273D">
            <w:pPr>
              <w:jc w:val="right"/>
              <w:rPr>
                <w:color w:val="000000"/>
                <w:lang w:eastAsia="ko-KR"/>
              </w:rPr>
            </w:pPr>
            <w:r w:rsidRPr="00AA35E0">
              <w:rPr>
                <w:color w:val="000000"/>
                <w:lang w:eastAsia="ko-KR"/>
              </w:rPr>
              <w:t>-0.049</w:t>
            </w:r>
          </w:p>
        </w:tc>
        <w:tc>
          <w:tcPr>
            <w:tcW w:w="1113" w:type="dxa"/>
            <w:tcBorders>
              <w:top w:val="nil"/>
              <w:left w:val="nil"/>
              <w:bottom w:val="nil"/>
              <w:right w:val="single" w:sz="8" w:space="0" w:color="auto"/>
            </w:tcBorders>
            <w:shd w:val="clear" w:color="auto" w:fill="auto"/>
            <w:noWrap/>
            <w:vAlign w:val="bottom"/>
            <w:hideMark/>
          </w:tcPr>
          <w:p w14:paraId="7FE334EF" w14:textId="77777777" w:rsidR="00AD273D" w:rsidRPr="00AA35E0" w:rsidRDefault="00AD273D" w:rsidP="00AD273D">
            <w:pPr>
              <w:jc w:val="right"/>
              <w:rPr>
                <w:color w:val="000000"/>
                <w:lang w:eastAsia="ko-KR"/>
              </w:rPr>
            </w:pPr>
            <w:r w:rsidRPr="00AA35E0">
              <w:rPr>
                <w:color w:val="000000"/>
                <w:lang w:eastAsia="ko-KR"/>
              </w:rPr>
              <w:t>-0.904</w:t>
            </w:r>
          </w:p>
        </w:tc>
        <w:tc>
          <w:tcPr>
            <w:tcW w:w="1114" w:type="dxa"/>
            <w:tcBorders>
              <w:top w:val="nil"/>
              <w:left w:val="nil"/>
              <w:bottom w:val="nil"/>
              <w:right w:val="nil"/>
            </w:tcBorders>
            <w:shd w:val="clear" w:color="auto" w:fill="auto"/>
            <w:noWrap/>
            <w:vAlign w:val="bottom"/>
            <w:hideMark/>
          </w:tcPr>
          <w:p w14:paraId="4A72AA76" w14:textId="77777777" w:rsidR="00AD273D" w:rsidRPr="00AA35E0" w:rsidRDefault="00AD273D" w:rsidP="00AD273D">
            <w:pPr>
              <w:jc w:val="right"/>
              <w:rPr>
                <w:color w:val="000000"/>
                <w:lang w:eastAsia="ko-KR"/>
              </w:rPr>
            </w:pPr>
            <w:r w:rsidRPr="00AA35E0">
              <w:rPr>
                <w:color w:val="000000"/>
                <w:lang w:eastAsia="ko-KR"/>
              </w:rPr>
              <w:t>0.083</w:t>
            </w:r>
          </w:p>
        </w:tc>
        <w:tc>
          <w:tcPr>
            <w:tcW w:w="1113" w:type="dxa"/>
            <w:tcBorders>
              <w:top w:val="nil"/>
              <w:left w:val="nil"/>
              <w:bottom w:val="nil"/>
              <w:right w:val="nil"/>
            </w:tcBorders>
            <w:shd w:val="clear" w:color="auto" w:fill="auto"/>
            <w:noWrap/>
            <w:vAlign w:val="bottom"/>
            <w:hideMark/>
          </w:tcPr>
          <w:p w14:paraId="2C02519A" w14:textId="77777777" w:rsidR="00AD273D" w:rsidRPr="00AA35E0" w:rsidRDefault="00AD273D" w:rsidP="00AD273D">
            <w:pPr>
              <w:jc w:val="right"/>
              <w:rPr>
                <w:color w:val="000000"/>
                <w:lang w:eastAsia="ko-KR"/>
              </w:rPr>
            </w:pPr>
            <w:r w:rsidRPr="00AA35E0">
              <w:rPr>
                <w:color w:val="000000"/>
                <w:lang w:eastAsia="ko-KR"/>
              </w:rPr>
              <w:t>1.891</w:t>
            </w:r>
          </w:p>
        </w:tc>
        <w:tc>
          <w:tcPr>
            <w:tcW w:w="1113" w:type="dxa"/>
            <w:tcBorders>
              <w:top w:val="nil"/>
              <w:left w:val="single" w:sz="8" w:space="0" w:color="auto"/>
              <w:bottom w:val="nil"/>
              <w:right w:val="nil"/>
            </w:tcBorders>
            <w:shd w:val="clear" w:color="auto" w:fill="auto"/>
            <w:noWrap/>
            <w:vAlign w:val="bottom"/>
            <w:hideMark/>
          </w:tcPr>
          <w:p w14:paraId="70014786" w14:textId="77777777" w:rsidR="00AD273D" w:rsidRPr="00AA35E0" w:rsidRDefault="00AD273D" w:rsidP="00AD273D">
            <w:pPr>
              <w:jc w:val="right"/>
              <w:rPr>
                <w:color w:val="000000"/>
                <w:lang w:eastAsia="ko-KR"/>
              </w:rPr>
            </w:pPr>
            <w:r w:rsidRPr="00AA35E0">
              <w:rPr>
                <w:color w:val="000000"/>
                <w:lang w:eastAsia="ko-KR"/>
              </w:rPr>
              <w:t>0.117</w:t>
            </w:r>
          </w:p>
        </w:tc>
        <w:tc>
          <w:tcPr>
            <w:tcW w:w="1114" w:type="dxa"/>
            <w:tcBorders>
              <w:top w:val="nil"/>
              <w:left w:val="nil"/>
              <w:bottom w:val="nil"/>
              <w:right w:val="nil"/>
            </w:tcBorders>
            <w:shd w:val="clear" w:color="auto" w:fill="auto"/>
            <w:noWrap/>
            <w:vAlign w:val="bottom"/>
            <w:hideMark/>
          </w:tcPr>
          <w:p w14:paraId="7C21E3ED" w14:textId="77777777" w:rsidR="00AD273D" w:rsidRPr="00AA35E0" w:rsidRDefault="00AD273D" w:rsidP="00AD273D">
            <w:pPr>
              <w:jc w:val="right"/>
              <w:rPr>
                <w:color w:val="000000"/>
                <w:lang w:eastAsia="ko-KR"/>
              </w:rPr>
            </w:pPr>
            <w:r w:rsidRPr="00AA35E0">
              <w:rPr>
                <w:color w:val="000000"/>
                <w:lang w:eastAsia="ko-KR"/>
              </w:rPr>
              <w:t>2.661</w:t>
            </w:r>
          </w:p>
        </w:tc>
      </w:tr>
      <w:tr w:rsidR="00AD273D" w:rsidRPr="00AA35E0" w14:paraId="3C3A41A9" w14:textId="77777777" w:rsidTr="00372A88">
        <w:trPr>
          <w:trHeight w:val="288"/>
        </w:trPr>
        <w:tc>
          <w:tcPr>
            <w:tcW w:w="960" w:type="dxa"/>
            <w:tcBorders>
              <w:top w:val="nil"/>
              <w:left w:val="nil"/>
              <w:bottom w:val="nil"/>
              <w:right w:val="nil"/>
            </w:tcBorders>
            <w:shd w:val="clear" w:color="auto" w:fill="auto"/>
            <w:noWrap/>
            <w:vAlign w:val="center"/>
            <w:hideMark/>
          </w:tcPr>
          <w:p w14:paraId="0532655D" w14:textId="77777777" w:rsidR="00AD273D" w:rsidRPr="00AA35E0" w:rsidRDefault="00AD273D" w:rsidP="00CA7BF2">
            <w:pPr>
              <w:jc w:val="center"/>
              <w:rPr>
                <w:b/>
                <w:bCs/>
                <w:color w:val="000000"/>
                <w:lang w:eastAsia="ko-KR"/>
              </w:rPr>
            </w:pPr>
            <w:r w:rsidRPr="00AA35E0">
              <w:rPr>
                <w:b/>
                <w:bCs/>
                <w:color w:val="000000"/>
                <w:lang w:eastAsia="ko-KR"/>
              </w:rPr>
              <w:t>HML</w:t>
            </w:r>
          </w:p>
        </w:tc>
        <w:tc>
          <w:tcPr>
            <w:tcW w:w="1113" w:type="dxa"/>
            <w:tcBorders>
              <w:top w:val="nil"/>
              <w:left w:val="single" w:sz="8" w:space="0" w:color="auto"/>
              <w:bottom w:val="nil"/>
              <w:right w:val="nil"/>
            </w:tcBorders>
            <w:shd w:val="clear" w:color="auto" w:fill="auto"/>
            <w:noWrap/>
            <w:vAlign w:val="bottom"/>
            <w:hideMark/>
          </w:tcPr>
          <w:p w14:paraId="79675FB9" w14:textId="77777777" w:rsidR="00AD273D" w:rsidRPr="00AA35E0" w:rsidRDefault="00AD273D" w:rsidP="00AD273D">
            <w:pPr>
              <w:jc w:val="right"/>
              <w:rPr>
                <w:color w:val="000000"/>
                <w:lang w:eastAsia="ko-KR"/>
              </w:rPr>
            </w:pPr>
            <w:r w:rsidRPr="00AA35E0">
              <w:rPr>
                <w:color w:val="000000"/>
                <w:lang w:eastAsia="ko-KR"/>
              </w:rPr>
              <w:t>0.200</w:t>
            </w:r>
          </w:p>
        </w:tc>
        <w:tc>
          <w:tcPr>
            <w:tcW w:w="1113" w:type="dxa"/>
            <w:tcBorders>
              <w:top w:val="nil"/>
              <w:left w:val="nil"/>
              <w:bottom w:val="nil"/>
              <w:right w:val="single" w:sz="8" w:space="0" w:color="auto"/>
            </w:tcBorders>
            <w:shd w:val="clear" w:color="auto" w:fill="auto"/>
            <w:noWrap/>
            <w:vAlign w:val="bottom"/>
            <w:hideMark/>
          </w:tcPr>
          <w:p w14:paraId="0DD02C3A" w14:textId="77777777" w:rsidR="00AD273D" w:rsidRPr="00AA35E0" w:rsidRDefault="00AD273D" w:rsidP="00AD273D">
            <w:pPr>
              <w:jc w:val="right"/>
              <w:rPr>
                <w:color w:val="000000"/>
                <w:lang w:eastAsia="ko-KR"/>
              </w:rPr>
            </w:pPr>
            <w:r w:rsidRPr="00AA35E0">
              <w:rPr>
                <w:color w:val="000000"/>
                <w:lang w:eastAsia="ko-KR"/>
              </w:rPr>
              <w:t>3.860</w:t>
            </w:r>
          </w:p>
        </w:tc>
        <w:tc>
          <w:tcPr>
            <w:tcW w:w="1114" w:type="dxa"/>
            <w:tcBorders>
              <w:top w:val="nil"/>
              <w:left w:val="nil"/>
              <w:bottom w:val="nil"/>
              <w:right w:val="nil"/>
            </w:tcBorders>
            <w:shd w:val="clear" w:color="auto" w:fill="auto"/>
            <w:noWrap/>
            <w:vAlign w:val="bottom"/>
            <w:hideMark/>
          </w:tcPr>
          <w:p w14:paraId="063D75D4" w14:textId="77777777" w:rsidR="00AD273D" w:rsidRPr="00AA35E0" w:rsidRDefault="00AD273D" w:rsidP="00AD273D">
            <w:pPr>
              <w:jc w:val="right"/>
              <w:rPr>
                <w:color w:val="000000"/>
                <w:lang w:eastAsia="ko-KR"/>
              </w:rPr>
            </w:pPr>
            <w:r w:rsidRPr="00AA35E0">
              <w:rPr>
                <w:color w:val="000000"/>
                <w:lang w:eastAsia="ko-KR"/>
              </w:rPr>
              <w:t>0.186</w:t>
            </w:r>
          </w:p>
        </w:tc>
        <w:tc>
          <w:tcPr>
            <w:tcW w:w="1113" w:type="dxa"/>
            <w:tcBorders>
              <w:top w:val="nil"/>
              <w:left w:val="nil"/>
              <w:bottom w:val="nil"/>
              <w:right w:val="nil"/>
            </w:tcBorders>
            <w:shd w:val="clear" w:color="auto" w:fill="auto"/>
            <w:noWrap/>
            <w:vAlign w:val="bottom"/>
            <w:hideMark/>
          </w:tcPr>
          <w:p w14:paraId="7EDE07CD" w14:textId="77777777" w:rsidR="00AD273D" w:rsidRPr="00AA35E0" w:rsidRDefault="00AD273D" w:rsidP="00AD273D">
            <w:pPr>
              <w:jc w:val="right"/>
              <w:rPr>
                <w:color w:val="000000"/>
                <w:lang w:eastAsia="ko-KR"/>
              </w:rPr>
            </w:pPr>
            <w:r w:rsidRPr="00AA35E0">
              <w:rPr>
                <w:color w:val="000000"/>
                <w:lang w:eastAsia="ko-KR"/>
              </w:rPr>
              <w:t>4.373</w:t>
            </w:r>
          </w:p>
        </w:tc>
        <w:tc>
          <w:tcPr>
            <w:tcW w:w="1113" w:type="dxa"/>
            <w:tcBorders>
              <w:top w:val="nil"/>
              <w:left w:val="single" w:sz="8" w:space="0" w:color="auto"/>
              <w:bottom w:val="nil"/>
              <w:right w:val="nil"/>
            </w:tcBorders>
            <w:shd w:val="clear" w:color="auto" w:fill="auto"/>
            <w:noWrap/>
            <w:vAlign w:val="bottom"/>
            <w:hideMark/>
          </w:tcPr>
          <w:p w14:paraId="26DE2FBF" w14:textId="77777777" w:rsidR="00AD273D" w:rsidRPr="00AA35E0" w:rsidRDefault="00AD273D" w:rsidP="00AD273D">
            <w:pPr>
              <w:jc w:val="right"/>
              <w:rPr>
                <w:color w:val="000000"/>
                <w:lang w:eastAsia="ko-KR"/>
              </w:rPr>
            </w:pPr>
            <w:r w:rsidRPr="00AA35E0">
              <w:rPr>
                <w:color w:val="000000"/>
                <w:lang w:eastAsia="ko-KR"/>
              </w:rPr>
              <w:t>0.178</w:t>
            </w:r>
          </w:p>
        </w:tc>
        <w:tc>
          <w:tcPr>
            <w:tcW w:w="1114" w:type="dxa"/>
            <w:tcBorders>
              <w:top w:val="nil"/>
              <w:left w:val="nil"/>
              <w:bottom w:val="nil"/>
              <w:right w:val="nil"/>
            </w:tcBorders>
            <w:shd w:val="clear" w:color="auto" w:fill="auto"/>
            <w:noWrap/>
            <w:vAlign w:val="bottom"/>
            <w:hideMark/>
          </w:tcPr>
          <w:p w14:paraId="34DA77FF" w14:textId="77777777" w:rsidR="00AD273D" w:rsidRPr="00AA35E0" w:rsidRDefault="00AD273D" w:rsidP="00AD273D">
            <w:pPr>
              <w:jc w:val="right"/>
              <w:rPr>
                <w:color w:val="000000"/>
                <w:lang w:eastAsia="ko-KR"/>
              </w:rPr>
            </w:pPr>
            <w:r w:rsidRPr="00AA35E0">
              <w:rPr>
                <w:color w:val="000000"/>
                <w:lang w:eastAsia="ko-KR"/>
              </w:rPr>
              <w:t>4.208</w:t>
            </w:r>
          </w:p>
        </w:tc>
      </w:tr>
      <w:tr w:rsidR="00AD273D" w:rsidRPr="00AA35E0" w14:paraId="10E46C02" w14:textId="77777777" w:rsidTr="00372A88">
        <w:trPr>
          <w:trHeight w:val="180"/>
        </w:trPr>
        <w:tc>
          <w:tcPr>
            <w:tcW w:w="960" w:type="dxa"/>
            <w:tcBorders>
              <w:top w:val="nil"/>
              <w:left w:val="nil"/>
              <w:bottom w:val="nil"/>
              <w:right w:val="nil"/>
            </w:tcBorders>
            <w:shd w:val="clear" w:color="auto" w:fill="auto"/>
            <w:noWrap/>
            <w:vAlign w:val="center"/>
            <w:hideMark/>
          </w:tcPr>
          <w:p w14:paraId="21F5C9F0" w14:textId="77777777" w:rsidR="00AD273D" w:rsidRPr="00AA35E0" w:rsidRDefault="00AD273D" w:rsidP="00CA7BF2">
            <w:pPr>
              <w:jc w:val="center"/>
              <w:rPr>
                <w:b/>
                <w:bCs/>
                <w:color w:val="000000"/>
                <w:lang w:eastAsia="ko-KR"/>
              </w:rPr>
            </w:pPr>
            <w:r w:rsidRPr="00AA35E0">
              <w:rPr>
                <w:b/>
                <w:bCs/>
                <w:color w:val="000000"/>
                <w:lang w:eastAsia="ko-KR"/>
              </w:rPr>
              <w:t>UMD</w:t>
            </w:r>
          </w:p>
        </w:tc>
        <w:tc>
          <w:tcPr>
            <w:tcW w:w="1113" w:type="dxa"/>
            <w:tcBorders>
              <w:top w:val="nil"/>
              <w:left w:val="single" w:sz="8" w:space="0" w:color="auto"/>
              <w:bottom w:val="nil"/>
              <w:right w:val="nil"/>
            </w:tcBorders>
            <w:shd w:val="clear" w:color="auto" w:fill="auto"/>
            <w:noWrap/>
            <w:vAlign w:val="bottom"/>
            <w:hideMark/>
          </w:tcPr>
          <w:p w14:paraId="6D50B1FC" w14:textId="77777777" w:rsidR="00AD273D" w:rsidRPr="00AA35E0" w:rsidRDefault="00AD273D" w:rsidP="00AD273D">
            <w:pPr>
              <w:jc w:val="right"/>
              <w:rPr>
                <w:color w:val="000000"/>
                <w:lang w:eastAsia="ko-KR"/>
              </w:rPr>
            </w:pPr>
            <w:r w:rsidRPr="00AA35E0">
              <w:rPr>
                <w:color w:val="000000"/>
                <w:lang w:eastAsia="ko-KR"/>
              </w:rPr>
              <w:t>0.139</w:t>
            </w:r>
          </w:p>
        </w:tc>
        <w:tc>
          <w:tcPr>
            <w:tcW w:w="1113" w:type="dxa"/>
            <w:tcBorders>
              <w:top w:val="nil"/>
              <w:left w:val="nil"/>
              <w:bottom w:val="nil"/>
              <w:right w:val="single" w:sz="8" w:space="0" w:color="auto"/>
            </w:tcBorders>
            <w:shd w:val="clear" w:color="auto" w:fill="auto"/>
            <w:noWrap/>
            <w:vAlign w:val="bottom"/>
            <w:hideMark/>
          </w:tcPr>
          <w:p w14:paraId="4BC8FA6C" w14:textId="77777777" w:rsidR="00AD273D" w:rsidRPr="00AA35E0" w:rsidRDefault="00AD273D" w:rsidP="00AD273D">
            <w:pPr>
              <w:jc w:val="right"/>
              <w:rPr>
                <w:color w:val="000000"/>
                <w:lang w:eastAsia="ko-KR"/>
              </w:rPr>
            </w:pPr>
            <w:r w:rsidRPr="00AA35E0">
              <w:rPr>
                <w:color w:val="000000"/>
                <w:lang w:eastAsia="ko-KR"/>
              </w:rPr>
              <w:t>3.497</w:t>
            </w:r>
          </w:p>
        </w:tc>
        <w:tc>
          <w:tcPr>
            <w:tcW w:w="1114" w:type="dxa"/>
            <w:tcBorders>
              <w:top w:val="nil"/>
              <w:left w:val="nil"/>
              <w:bottom w:val="nil"/>
              <w:right w:val="nil"/>
            </w:tcBorders>
            <w:shd w:val="clear" w:color="auto" w:fill="auto"/>
            <w:noWrap/>
            <w:vAlign w:val="bottom"/>
            <w:hideMark/>
          </w:tcPr>
          <w:p w14:paraId="783BCE08" w14:textId="77777777" w:rsidR="00AD273D" w:rsidRPr="00AA35E0" w:rsidRDefault="00AD273D" w:rsidP="00AD273D">
            <w:pPr>
              <w:jc w:val="right"/>
              <w:rPr>
                <w:color w:val="000000"/>
                <w:lang w:eastAsia="ko-KR"/>
              </w:rPr>
            </w:pPr>
            <w:r w:rsidRPr="00AA35E0">
              <w:rPr>
                <w:color w:val="000000"/>
                <w:lang w:eastAsia="ko-KR"/>
              </w:rPr>
              <w:t>0.975</w:t>
            </w:r>
          </w:p>
        </w:tc>
        <w:tc>
          <w:tcPr>
            <w:tcW w:w="1113" w:type="dxa"/>
            <w:tcBorders>
              <w:top w:val="nil"/>
              <w:left w:val="nil"/>
              <w:bottom w:val="nil"/>
              <w:right w:val="nil"/>
            </w:tcBorders>
            <w:shd w:val="clear" w:color="auto" w:fill="auto"/>
            <w:noWrap/>
            <w:vAlign w:val="bottom"/>
            <w:hideMark/>
          </w:tcPr>
          <w:p w14:paraId="295C1014" w14:textId="77777777" w:rsidR="00AD273D" w:rsidRPr="00AA35E0" w:rsidRDefault="00AD273D" w:rsidP="00AD273D">
            <w:pPr>
              <w:jc w:val="right"/>
              <w:rPr>
                <w:color w:val="000000"/>
                <w:lang w:eastAsia="ko-KR"/>
              </w:rPr>
            </w:pPr>
            <w:r w:rsidRPr="00AA35E0">
              <w:rPr>
                <w:color w:val="000000"/>
                <w:lang w:eastAsia="ko-KR"/>
              </w:rPr>
              <w:t>30.051</w:t>
            </w:r>
          </w:p>
        </w:tc>
        <w:tc>
          <w:tcPr>
            <w:tcW w:w="1113" w:type="dxa"/>
            <w:tcBorders>
              <w:top w:val="nil"/>
              <w:left w:val="single" w:sz="8" w:space="0" w:color="auto"/>
              <w:bottom w:val="nil"/>
              <w:right w:val="nil"/>
            </w:tcBorders>
            <w:shd w:val="clear" w:color="auto" w:fill="auto"/>
            <w:noWrap/>
            <w:vAlign w:val="bottom"/>
            <w:hideMark/>
          </w:tcPr>
          <w:p w14:paraId="4BE19CD1" w14:textId="77777777" w:rsidR="00AD273D" w:rsidRPr="00AA35E0" w:rsidRDefault="00AD273D" w:rsidP="00AD273D">
            <w:pPr>
              <w:jc w:val="right"/>
              <w:rPr>
                <w:color w:val="000000"/>
                <w:lang w:eastAsia="ko-KR"/>
              </w:rPr>
            </w:pPr>
            <w:r w:rsidRPr="00AA35E0">
              <w:rPr>
                <w:color w:val="000000"/>
                <w:lang w:eastAsia="ko-KR"/>
              </w:rPr>
              <w:t>0.973</w:t>
            </w:r>
          </w:p>
        </w:tc>
        <w:tc>
          <w:tcPr>
            <w:tcW w:w="1114" w:type="dxa"/>
            <w:tcBorders>
              <w:top w:val="nil"/>
              <w:left w:val="nil"/>
              <w:bottom w:val="nil"/>
              <w:right w:val="nil"/>
            </w:tcBorders>
            <w:shd w:val="clear" w:color="auto" w:fill="auto"/>
            <w:noWrap/>
            <w:vAlign w:val="bottom"/>
            <w:hideMark/>
          </w:tcPr>
          <w:p w14:paraId="2949D7B1" w14:textId="77777777" w:rsidR="00AD273D" w:rsidRPr="00AA35E0" w:rsidRDefault="00AD273D" w:rsidP="00AD273D">
            <w:pPr>
              <w:jc w:val="right"/>
              <w:rPr>
                <w:color w:val="000000"/>
                <w:lang w:eastAsia="ko-KR"/>
              </w:rPr>
            </w:pPr>
            <w:r w:rsidRPr="00AA35E0">
              <w:rPr>
                <w:color w:val="000000"/>
                <w:lang w:eastAsia="ko-KR"/>
              </w:rPr>
              <w:t>30.130</w:t>
            </w:r>
          </w:p>
        </w:tc>
      </w:tr>
    </w:tbl>
    <w:p w14:paraId="5E8CBCC9" w14:textId="77777777" w:rsidR="00B673AA" w:rsidRPr="00AA35E0" w:rsidRDefault="00B673AA" w:rsidP="00CA7BF2"/>
    <w:p w14:paraId="23A2815E" w14:textId="77777777" w:rsidR="00884444" w:rsidRPr="00AA35E0" w:rsidRDefault="00884444" w:rsidP="00D379E0">
      <w:pPr>
        <w:pStyle w:val="ListParagraph"/>
        <w:numPr>
          <w:ilvl w:val="0"/>
          <w:numId w:val="3"/>
        </w:numPr>
        <w:ind w:firstLineChars="0"/>
        <w:rPr>
          <w:rFonts w:ascii="Times New Roman" w:hAnsi="Times New Roman" w:cs="Times New Roman"/>
          <w:sz w:val="24"/>
          <w:szCs w:val="24"/>
        </w:rPr>
      </w:pPr>
    </w:p>
    <w:p w14:paraId="73B6950F" w14:textId="609D76CA" w:rsidR="00884444" w:rsidRPr="00AA35E0" w:rsidRDefault="00CA7BF2" w:rsidP="00F92798">
      <w:pPr>
        <w:pStyle w:val="ListParagraph"/>
        <w:numPr>
          <w:ilvl w:val="0"/>
          <w:numId w:val="11"/>
        </w:numPr>
        <w:ind w:firstLineChars="0" w:firstLine="0"/>
        <w:rPr>
          <w:rFonts w:ascii="Times New Roman" w:hAnsi="Times New Roman" w:cs="Times New Roman"/>
          <w:sz w:val="24"/>
          <w:szCs w:val="24"/>
        </w:rPr>
      </w:pPr>
      <w:r w:rsidRPr="00AA35E0">
        <w:rPr>
          <w:rFonts w:ascii="Times New Roman" w:hAnsi="Times New Roman" w:cs="Times New Roman"/>
          <w:sz w:val="24"/>
          <w:szCs w:val="24"/>
        </w:rPr>
        <w:t>The table below provides the summary statistics on all 3 strategies. As we can see, all strategies generate statistically and economically significant monthly returns.</w:t>
      </w:r>
    </w:p>
    <w:p w14:paraId="0F78DC01" w14:textId="77777777" w:rsidR="00884444" w:rsidRPr="00AA35E0" w:rsidRDefault="00884444" w:rsidP="00CA7BF2"/>
    <w:p w14:paraId="2A9CBEDF" w14:textId="77777777" w:rsidR="00884444" w:rsidRPr="00AA35E0" w:rsidRDefault="00884444" w:rsidP="00884444">
      <w:pPr>
        <w:pStyle w:val="ListParagraph"/>
        <w:ind w:left="1440" w:firstLineChars="0" w:firstLine="0"/>
        <w:rPr>
          <w:rFonts w:ascii="Times New Roman" w:hAnsi="Times New Roman" w:cs="Times New Roman"/>
          <w:sz w:val="24"/>
          <w:szCs w:val="24"/>
        </w:rPr>
      </w:pPr>
    </w:p>
    <w:tbl>
      <w:tblPr>
        <w:tblStyle w:val="TableGrid"/>
        <w:tblW w:w="0" w:type="auto"/>
        <w:tblInd w:w="445" w:type="dxa"/>
        <w:tblLook w:val="04A0" w:firstRow="1" w:lastRow="0" w:firstColumn="1" w:lastColumn="0" w:noHBand="0" w:noVBand="1"/>
      </w:tblPr>
      <w:tblGrid>
        <w:gridCol w:w="2390"/>
        <w:gridCol w:w="1993"/>
        <w:gridCol w:w="1807"/>
        <w:gridCol w:w="2014"/>
        <w:gridCol w:w="1807"/>
      </w:tblGrid>
      <w:tr w:rsidR="00884444" w:rsidRPr="00AA35E0" w14:paraId="5688D631" w14:textId="77777777" w:rsidTr="00F92798">
        <w:tc>
          <w:tcPr>
            <w:tcW w:w="2390" w:type="dxa"/>
          </w:tcPr>
          <w:p w14:paraId="478ACFD3" w14:textId="77777777" w:rsidR="00884444" w:rsidRPr="00AA35E0" w:rsidRDefault="00884444" w:rsidP="00F92798">
            <w:pPr>
              <w:pStyle w:val="ListParagraph"/>
              <w:ind w:firstLineChars="0" w:firstLine="0"/>
              <w:rPr>
                <w:rFonts w:ascii="Times New Roman" w:hAnsi="Times New Roman" w:cs="Times New Roman"/>
                <w:sz w:val="24"/>
                <w:szCs w:val="24"/>
              </w:rPr>
            </w:pPr>
          </w:p>
        </w:tc>
        <w:tc>
          <w:tcPr>
            <w:tcW w:w="1993" w:type="dxa"/>
            <w:vAlign w:val="center"/>
          </w:tcPr>
          <w:p w14:paraId="3353B1B6"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Time series average return</w:t>
            </w:r>
          </w:p>
        </w:tc>
        <w:tc>
          <w:tcPr>
            <w:tcW w:w="1807" w:type="dxa"/>
            <w:vAlign w:val="center"/>
          </w:tcPr>
          <w:p w14:paraId="2CD567B6"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Standard deviation</w:t>
            </w:r>
          </w:p>
        </w:tc>
        <w:tc>
          <w:tcPr>
            <w:tcW w:w="2014" w:type="dxa"/>
            <w:vAlign w:val="center"/>
          </w:tcPr>
          <w:p w14:paraId="11F88DBB"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t-statistic</w:t>
            </w:r>
          </w:p>
        </w:tc>
        <w:tc>
          <w:tcPr>
            <w:tcW w:w="1807" w:type="dxa"/>
            <w:vAlign w:val="center"/>
          </w:tcPr>
          <w:p w14:paraId="076205E5"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Annualized Sharpe Ratio</w:t>
            </w:r>
          </w:p>
        </w:tc>
      </w:tr>
      <w:tr w:rsidR="00884444" w:rsidRPr="00AA35E0" w14:paraId="70331706" w14:textId="77777777" w:rsidTr="00F92798">
        <w:tc>
          <w:tcPr>
            <w:tcW w:w="2390" w:type="dxa"/>
            <w:vAlign w:val="center"/>
          </w:tcPr>
          <w:p w14:paraId="5A8DF1E3"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 month, 1- month momentum portfolio</w:t>
            </w:r>
          </w:p>
        </w:tc>
        <w:tc>
          <w:tcPr>
            <w:tcW w:w="1993" w:type="dxa"/>
            <w:vAlign w:val="center"/>
          </w:tcPr>
          <w:p w14:paraId="12857460"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1.7045</w:t>
            </w:r>
          </w:p>
        </w:tc>
        <w:tc>
          <w:tcPr>
            <w:tcW w:w="1807" w:type="dxa"/>
            <w:vAlign w:val="center"/>
          </w:tcPr>
          <w:p w14:paraId="24CE315D"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9.4274</w:t>
            </w:r>
          </w:p>
        </w:tc>
        <w:tc>
          <w:tcPr>
            <w:tcW w:w="2014" w:type="dxa"/>
            <w:vAlign w:val="center"/>
          </w:tcPr>
          <w:p w14:paraId="15486FE4"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4.2478</w:t>
            </w:r>
          </w:p>
        </w:tc>
        <w:tc>
          <w:tcPr>
            <w:tcW w:w="1807" w:type="dxa"/>
            <w:vAlign w:val="center"/>
          </w:tcPr>
          <w:p w14:paraId="16F92CA9"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0.6263</w:t>
            </w:r>
          </w:p>
        </w:tc>
      </w:tr>
      <w:tr w:rsidR="00884444" w:rsidRPr="00AA35E0" w14:paraId="11FFFB0A" w14:textId="77777777" w:rsidTr="00F92798">
        <w:tc>
          <w:tcPr>
            <w:tcW w:w="2390" w:type="dxa"/>
            <w:vAlign w:val="center"/>
          </w:tcPr>
          <w:p w14:paraId="730733E4"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12- month, 1- month momentum portfolio</w:t>
            </w:r>
          </w:p>
        </w:tc>
        <w:tc>
          <w:tcPr>
            <w:tcW w:w="1993" w:type="dxa"/>
            <w:vAlign w:val="center"/>
          </w:tcPr>
          <w:p w14:paraId="765EB5A0"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1.0741</w:t>
            </w:r>
          </w:p>
        </w:tc>
        <w:tc>
          <w:tcPr>
            <w:tcW w:w="1807" w:type="dxa"/>
            <w:vAlign w:val="center"/>
          </w:tcPr>
          <w:p w14:paraId="2A6AA872"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9.0983</w:t>
            </w:r>
          </w:p>
        </w:tc>
        <w:tc>
          <w:tcPr>
            <w:tcW w:w="2014" w:type="dxa"/>
            <w:vAlign w:val="center"/>
          </w:tcPr>
          <w:p w14:paraId="58CCF7DA"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2.7434</w:t>
            </w:r>
          </w:p>
        </w:tc>
        <w:tc>
          <w:tcPr>
            <w:tcW w:w="1807" w:type="dxa"/>
            <w:vAlign w:val="center"/>
          </w:tcPr>
          <w:p w14:paraId="4A4D4940" w14:textId="52354FBB"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0.409</w:t>
            </w:r>
          </w:p>
        </w:tc>
      </w:tr>
      <w:tr w:rsidR="00884444" w:rsidRPr="00AA35E0" w14:paraId="2BA0FE6A" w14:textId="77777777" w:rsidTr="00F92798">
        <w:tc>
          <w:tcPr>
            <w:tcW w:w="2390" w:type="dxa"/>
            <w:vAlign w:val="center"/>
          </w:tcPr>
          <w:p w14:paraId="244E597E"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12- month, 1- month momentum portfolio (skip a month)</w:t>
            </w:r>
          </w:p>
        </w:tc>
        <w:tc>
          <w:tcPr>
            <w:tcW w:w="1993" w:type="dxa"/>
            <w:vAlign w:val="center"/>
          </w:tcPr>
          <w:p w14:paraId="6CCC0CB7"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0.9678</w:t>
            </w:r>
          </w:p>
        </w:tc>
        <w:tc>
          <w:tcPr>
            <w:tcW w:w="1807" w:type="dxa"/>
            <w:vAlign w:val="center"/>
          </w:tcPr>
          <w:p w14:paraId="6B10AF6E"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8.8921</w:t>
            </w:r>
          </w:p>
        </w:tc>
        <w:tc>
          <w:tcPr>
            <w:tcW w:w="2014" w:type="dxa"/>
            <w:vAlign w:val="center"/>
          </w:tcPr>
          <w:p w14:paraId="7A26FEFA"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2.5291</w:t>
            </w:r>
          </w:p>
        </w:tc>
        <w:tc>
          <w:tcPr>
            <w:tcW w:w="1807" w:type="dxa"/>
            <w:vAlign w:val="center"/>
          </w:tcPr>
          <w:p w14:paraId="4510ABF0" w14:textId="77777777" w:rsidR="00884444" w:rsidRPr="00AA35E0" w:rsidRDefault="00884444"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0.377</w:t>
            </w:r>
          </w:p>
        </w:tc>
      </w:tr>
    </w:tbl>
    <w:p w14:paraId="3E814D8C"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2BBEFFA5" w14:textId="76576F4E" w:rsidR="0064718C" w:rsidRPr="00AA35E0" w:rsidRDefault="0064718C" w:rsidP="00884444">
      <w:pPr>
        <w:pStyle w:val="ListParagraph"/>
        <w:ind w:left="1440" w:firstLineChars="0" w:firstLine="0"/>
        <w:rPr>
          <w:rFonts w:ascii="Times New Roman" w:hAnsi="Times New Roman" w:cs="Times New Roman"/>
          <w:sz w:val="24"/>
          <w:szCs w:val="24"/>
        </w:rPr>
      </w:pPr>
      <w:r w:rsidRPr="00AA35E0">
        <w:rPr>
          <w:rFonts w:ascii="Times New Roman" w:hAnsi="Times New Roman" w:cs="Times New Roman"/>
          <w:sz w:val="24"/>
          <w:szCs w:val="24"/>
        </w:rPr>
        <w:t>Note that for some dates, we have missing values for some commodities. This may be a problem since we are fixing the number of portfolios while the size of the pool from which we are picking the winners and losers is changing</w:t>
      </w:r>
      <w:r w:rsidR="00AA35E0">
        <w:rPr>
          <w:rFonts w:ascii="Times New Roman" w:hAnsi="Times New Roman" w:cs="Times New Roman"/>
          <w:sz w:val="24"/>
          <w:szCs w:val="24"/>
        </w:rPr>
        <w:t xml:space="preserve"> over time</w:t>
      </w:r>
      <w:r w:rsidRPr="00AA35E0">
        <w:rPr>
          <w:rFonts w:ascii="Times New Roman" w:hAnsi="Times New Roman" w:cs="Times New Roman"/>
          <w:sz w:val="24"/>
          <w:szCs w:val="24"/>
        </w:rPr>
        <w:t>. For example, for 1970, the top 3 represent the top 27.3%</w:t>
      </w:r>
      <w:r w:rsidR="00AA35E0">
        <w:rPr>
          <w:rFonts w:ascii="Times New Roman" w:hAnsi="Times New Roman" w:cs="Times New Roman"/>
          <w:sz w:val="24"/>
          <w:szCs w:val="24"/>
        </w:rPr>
        <w:t xml:space="preserve"> (3 out of 11)</w:t>
      </w:r>
      <w:r w:rsidRPr="00AA35E0">
        <w:rPr>
          <w:rFonts w:ascii="Times New Roman" w:hAnsi="Times New Roman" w:cs="Times New Roman"/>
          <w:sz w:val="24"/>
          <w:szCs w:val="24"/>
        </w:rPr>
        <w:t>, while the top 3 in 2015 represent the top 9.4%</w:t>
      </w:r>
      <w:r w:rsidR="00AA35E0">
        <w:rPr>
          <w:rFonts w:ascii="Times New Roman" w:hAnsi="Times New Roman" w:cs="Times New Roman"/>
          <w:sz w:val="24"/>
          <w:szCs w:val="24"/>
        </w:rPr>
        <w:t xml:space="preserve"> (3 out of 32)</w:t>
      </w:r>
      <w:r w:rsidRPr="00AA35E0">
        <w:rPr>
          <w:rFonts w:ascii="Times New Roman" w:hAnsi="Times New Roman" w:cs="Times New Roman"/>
          <w:sz w:val="24"/>
          <w:szCs w:val="24"/>
        </w:rPr>
        <w:t>.</w:t>
      </w:r>
    </w:p>
    <w:p w14:paraId="25953A46" w14:textId="259F9658" w:rsidR="00884444" w:rsidRPr="00AA35E0" w:rsidRDefault="00884444" w:rsidP="00AA35E0">
      <w:pPr>
        <w:pStyle w:val="ListParagraph"/>
        <w:ind w:left="1440" w:firstLineChars="0" w:firstLine="0"/>
        <w:rPr>
          <w:rFonts w:ascii="Times New Roman" w:hAnsi="Times New Roman" w:cs="Times New Roman"/>
          <w:sz w:val="24"/>
          <w:szCs w:val="24"/>
        </w:rPr>
      </w:pPr>
      <w:r w:rsidRPr="00AA35E0">
        <w:rPr>
          <w:rFonts w:ascii="Times New Roman" w:hAnsi="Times New Roman" w:cs="Times New Roman"/>
          <w:sz w:val="24"/>
          <w:szCs w:val="24"/>
        </w:rPr>
        <w:t xml:space="preserve"> </w:t>
      </w:r>
    </w:p>
    <w:p w14:paraId="3E67A1B9" w14:textId="221DC7AE" w:rsidR="00884444" w:rsidRPr="00AA35E0" w:rsidRDefault="00372A88" w:rsidP="00372A88">
      <w:pPr>
        <w:pStyle w:val="ListParagraph"/>
        <w:numPr>
          <w:ilvl w:val="0"/>
          <w:numId w:val="11"/>
        </w:numPr>
        <w:ind w:firstLineChars="0"/>
        <w:rPr>
          <w:rFonts w:ascii="Times New Roman" w:hAnsi="Times New Roman" w:cs="Times New Roman"/>
          <w:sz w:val="24"/>
          <w:szCs w:val="24"/>
        </w:rPr>
      </w:pPr>
      <w:r w:rsidRPr="00AA35E0">
        <w:rPr>
          <w:rFonts w:ascii="Times New Roman" w:hAnsi="Times New Roman" w:cs="Times New Roman"/>
          <w:sz w:val="24"/>
          <w:szCs w:val="24"/>
        </w:rPr>
        <w:lastRenderedPageBreak/>
        <w:t>Below table summarizes the regression results on the 3-factor model. As we can see, in all three cases, we observe a statistically and economically significant α, which is basically equal to the excess returns we computed in (i) above. This indicates that Fama-French 3-factor model fails to capture the abnormal return achieved through the momentum strategy.</w:t>
      </w:r>
    </w:p>
    <w:p w14:paraId="1EFAEC7B" w14:textId="77777777" w:rsidR="00884444" w:rsidRPr="00AA35E0" w:rsidRDefault="00884444" w:rsidP="00884444">
      <w:pPr>
        <w:pStyle w:val="ListParagraph"/>
        <w:ind w:left="1440" w:firstLineChars="0" w:firstLine="0"/>
        <w:rPr>
          <w:rFonts w:ascii="Times New Roman" w:hAnsi="Times New Roman" w:cs="Times New Roman"/>
          <w:sz w:val="24"/>
          <w:szCs w:val="24"/>
        </w:rPr>
      </w:pPr>
    </w:p>
    <w:tbl>
      <w:tblPr>
        <w:tblpPr w:leftFromText="180" w:rightFromText="180" w:vertAnchor="page" w:horzAnchor="margin" w:tblpXSpec="center" w:tblpY="2028"/>
        <w:tblW w:w="7560" w:type="dxa"/>
        <w:tblLook w:val="04A0" w:firstRow="1" w:lastRow="0" w:firstColumn="1" w:lastColumn="0" w:noHBand="0" w:noVBand="1"/>
      </w:tblPr>
      <w:tblGrid>
        <w:gridCol w:w="960"/>
        <w:gridCol w:w="1100"/>
        <w:gridCol w:w="1100"/>
        <w:gridCol w:w="1100"/>
        <w:gridCol w:w="1100"/>
        <w:gridCol w:w="1100"/>
        <w:gridCol w:w="1100"/>
      </w:tblGrid>
      <w:tr w:rsidR="00884444" w:rsidRPr="00AA35E0" w14:paraId="0B62E03E" w14:textId="77777777" w:rsidTr="00F92798">
        <w:trPr>
          <w:trHeight w:val="300"/>
        </w:trPr>
        <w:tc>
          <w:tcPr>
            <w:tcW w:w="960" w:type="dxa"/>
            <w:tcBorders>
              <w:top w:val="nil"/>
              <w:left w:val="nil"/>
              <w:right w:val="nil"/>
            </w:tcBorders>
            <w:shd w:val="clear" w:color="auto" w:fill="auto"/>
            <w:noWrap/>
            <w:vAlign w:val="bottom"/>
          </w:tcPr>
          <w:p w14:paraId="20CAC2FE" w14:textId="77777777" w:rsidR="00884444" w:rsidRPr="00AA35E0" w:rsidRDefault="00884444" w:rsidP="00F92798">
            <w:pPr>
              <w:rPr>
                <w:color w:val="000000"/>
                <w:lang w:eastAsia="ko-KR"/>
              </w:rPr>
            </w:pPr>
          </w:p>
        </w:tc>
        <w:tc>
          <w:tcPr>
            <w:tcW w:w="2200" w:type="dxa"/>
            <w:gridSpan w:val="2"/>
            <w:tcBorders>
              <w:top w:val="nil"/>
              <w:left w:val="single" w:sz="8" w:space="0" w:color="auto"/>
              <w:right w:val="single" w:sz="8" w:space="0" w:color="auto"/>
            </w:tcBorders>
            <w:shd w:val="clear" w:color="auto" w:fill="auto"/>
            <w:noWrap/>
            <w:vAlign w:val="center"/>
          </w:tcPr>
          <w:p w14:paraId="1DA75B46" w14:textId="77777777" w:rsidR="00884444" w:rsidRPr="00AA35E0" w:rsidRDefault="00884444" w:rsidP="00F92798">
            <w:pPr>
              <w:jc w:val="center"/>
              <w:rPr>
                <w:b/>
                <w:bCs/>
                <w:color w:val="000000"/>
                <w:lang w:eastAsia="ko-KR"/>
              </w:rPr>
            </w:pPr>
            <w:r w:rsidRPr="00AA35E0">
              <w:rPr>
                <w:b/>
                <w:bCs/>
                <w:color w:val="000000"/>
                <w:lang w:eastAsia="ko-KR"/>
              </w:rPr>
              <w:t>1-1 strategy</w:t>
            </w:r>
          </w:p>
        </w:tc>
        <w:tc>
          <w:tcPr>
            <w:tcW w:w="2200" w:type="dxa"/>
            <w:gridSpan w:val="2"/>
            <w:tcBorders>
              <w:top w:val="nil"/>
              <w:left w:val="nil"/>
              <w:right w:val="nil"/>
            </w:tcBorders>
            <w:shd w:val="clear" w:color="auto" w:fill="auto"/>
            <w:noWrap/>
            <w:vAlign w:val="center"/>
          </w:tcPr>
          <w:p w14:paraId="38654D78" w14:textId="77777777" w:rsidR="00884444" w:rsidRPr="00AA35E0" w:rsidRDefault="00884444" w:rsidP="00F92798">
            <w:pPr>
              <w:jc w:val="center"/>
              <w:rPr>
                <w:b/>
                <w:bCs/>
                <w:color w:val="000000"/>
                <w:lang w:eastAsia="ko-KR"/>
              </w:rPr>
            </w:pPr>
            <w:r w:rsidRPr="00AA35E0">
              <w:rPr>
                <w:b/>
                <w:bCs/>
                <w:color w:val="000000"/>
                <w:lang w:eastAsia="ko-KR"/>
              </w:rPr>
              <w:t>12-1 strategy</w:t>
            </w:r>
          </w:p>
        </w:tc>
        <w:tc>
          <w:tcPr>
            <w:tcW w:w="2200" w:type="dxa"/>
            <w:gridSpan w:val="2"/>
            <w:tcBorders>
              <w:top w:val="nil"/>
              <w:left w:val="single" w:sz="8" w:space="0" w:color="auto"/>
              <w:right w:val="nil"/>
            </w:tcBorders>
            <w:shd w:val="clear" w:color="auto" w:fill="auto"/>
            <w:noWrap/>
            <w:vAlign w:val="center"/>
          </w:tcPr>
          <w:p w14:paraId="2159C18C" w14:textId="77777777" w:rsidR="00884444" w:rsidRPr="00AA35E0" w:rsidRDefault="00884444" w:rsidP="00F92798">
            <w:pPr>
              <w:jc w:val="center"/>
              <w:rPr>
                <w:b/>
                <w:bCs/>
                <w:color w:val="000000"/>
                <w:lang w:eastAsia="ko-KR"/>
              </w:rPr>
            </w:pPr>
            <w:r w:rsidRPr="00AA35E0">
              <w:rPr>
                <w:b/>
                <w:bCs/>
                <w:color w:val="000000"/>
                <w:lang w:eastAsia="ko-KR"/>
              </w:rPr>
              <w:t>12-2 strategy</w:t>
            </w:r>
          </w:p>
        </w:tc>
      </w:tr>
      <w:tr w:rsidR="00884444" w:rsidRPr="00AA35E0" w14:paraId="217A4783" w14:textId="77777777" w:rsidTr="00F92798">
        <w:trPr>
          <w:trHeight w:val="300"/>
        </w:trPr>
        <w:tc>
          <w:tcPr>
            <w:tcW w:w="960" w:type="dxa"/>
            <w:tcBorders>
              <w:left w:val="nil"/>
              <w:bottom w:val="single" w:sz="8" w:space="0" w:color="auto"/>
              <w:right w:val="nil"/>
            </w:tcBorders>
            <w:shd w:val="clear" w:color="auto" w:fill="auto"/>
            <w:noWrap/>
            <w:vAlign w:val="bottom"/>
            <w:hideMark/>
          </w:tcPr>
          <w:p w14:paraId="6B416FD4" w14:textId="77777777" w:rsidR="00884444" w:rsidRPr="00AA35E0" w:rsidRDefault="00884444" w:rsidP="00F92798">
            <w:pPr>
              <w:rPr>
                <w:color w:val="000000"/>
                <w:lang w:eastAsia="ko-KR"/>
              </w:rPr>
            </w:pPr>
            <w:r w:rsidRPr="00AA35E0">
              <w:rPr>
                <w:color w:val="000000"/>
                <w:lang w:eastAsia="ko-KR"/>
              </w:rPr>
              <w:t> </w:t>
            </w:r>
          </w:p>
        </w:tc>
        <w:tc>
          <w:tcPr>
            <w:tcW w:w="1100" w:type="dxa"/>
            <w:tcBorders>
              <w:left w:val="single" w:sz="8" w:space="0" w:color="auto"/>
              <w:bottom w:val="single" w:sz="8" w:space="0" w:color="auto"/>
              <w:right w:val="nil"/>
            </w:tcBorders>
            <w:shd w:val="clear" w:color="auto" w:fill="auto"/>
            <w:noWrap/>
            <w:vAlign w:val="center"/>
            <w:hideMark/>
          </w:tcPr>
          <w:p w14:paraId="486C18E4" w14:textId="77777777" w:rsidR="00884444" w:rsidRPr="00AA35E0" w:rsidRDefault="00884444" w:rsidP="00F92798">
            <w:pPr>
              <w:jc w:val="center"/>
              <w:rPr>
                <w:b/>
                <w:bCs/>
                <w:color w:val="000000"/>
                <w:lang w:eastAsia="ko-KR"/>
              </w:rPr>
            </w:pPr>
            <w:r w:rsidRPr="00AA35E0">
              <w:rPr>
                <w:b/>
                <w:bCs/>
                <w:color w:val="000000"/>
                <w:lang w:eastAsia="ko-KR"/>
              </w:rPr>
              <w:t>estimate</w:t>
            </w:r>
          </w:p>
        </w:tc>
        <w:tc>
          <w:tcPr>
            <w:tcW w:w="1100" w:type="dxa"/>
            <w:tcBorders>
              <w:left w:val="nil"/>
              <w:bottom w:val="single" w:sz="8" w:space="0" w:color="auto"/>
              <w:right w:val="single" w:sz="8" w:space="0" w:color="auto"/>
            </w:tcBorders>
            <w:shd w:val="clear" w:color="auto" w:fill="auto"/>
            <w:noWrap/>
            <w:vAlign w:val="center"/>
            <w:hideMark/>
          </w:tcPr>
          <w:p w14:paraId="7603CCD9" w14:textId="77777777" w:rsidR="00884444" w:rsidRPr="00AA35E0" w:rsidRDefault="00884444" w:rsidP="00F92798">
            <w:pPr>
              <w:jc w:val="center"/>
              <w:rPr>
                <w:b/>
                <w:bCs/>
                <w:color w:val="000000"/>
                <w:lang w:eastAsia="ko-KR"/>
              </w:rPr>
            </w:pPr>
            <w:r w:rsidRPr="00AA35E0">
              <w:rPr>
                <w:b/>
                <w:bCs/>
                <w:color w:val="000000"/>
                <w:lang w:eastAsia="ko-KR"/>
              </w:rPr>
              <w:t>t-stat</w:t>
            </w:r>
          </w:p>
        </w:tc>
        <w:tc>
          <w:tcPr>
            <w:tcW w:w="1100" w:type="dxa"/>
            <w:tcBorders>
              <w:left w:val="nil"/>
              <w:bottom w:val="single" w:sz="8" w:space="0" w:color="auto"/>
              <w:right w:val="nil"/>
            </w:tcBorders>
            <w:shd w:val="clear" w:color="auto" w:fill="auto"/>
            <w:noWrap/>
            <w:vAlign w:val="center"/>
            <w:hideMark/>
          </w:tcPr>
          <w:p w14:paraId="0AD6A1DD" w14:textId="77777777" w:rsidR="00884444" w:rsidRPr="00AA35E0" w:rsidRDefault="00884444" w:rsidP="00F92798">
            <w:pPr>
              <w:jc w:val="center"/>
              <w:rPr>
                <w:b/>
                <w:bCs/>
                <w:color w:val="000000"/>
                <w:lang w:eastAsia="ko-KR"/>
              </w:rPr>
            </w:pPr>
            <w:r w:rsidRPr="00AA35E0">
              <w:rPr>
                <w:b/>
                <w:bCs/>
                <w:color w:val="000000"/>
                <w:lang w:eastAsia="ko-KR"/>
              </w:rPr>
              <w:t>estimate</w:t>
            </w:r>
          </w:p>
        </w:tc>
        <w:tc>
          <w:tcPr>
            <w:tcW w:w="1100" w:type="dxa"/>
            <w:tcBorders>
              <w:left w:val="nil"/>
              <w:bottom w:val="single" w:sz="8" w:space="0" w:color="auto"/>
              <w:right w:val="nil"/>
            </w:tcBorders>
            <w:shd w:val="clear" w:color="auto" w:fill="auto"/>
            <w:noWrap/>
            <w:vAlign w:val="center"/>
            <w:hideMark/>
          </w:tcPr>
          <w:p w14:paraId="670C46AB" w14:textId="77777777" w:rsidR="00884444" w:rsidRPr="00AA35E0" w:rsidRDefault="00884444" w:rsidP="00F92798">
            <w:pPr>
              <w:jc w:val="center"/>
              <w:rPr>
                <w:b/>
                <w:bCs/>
                <w:color w:val="000000"/>
                <w:lang w:eastAsia="ko-KR"/>
              </w:rPr>
            </w:pPr>
            <w:r w:rsidRPr="00AA35E0">
              <w:rPr>
                <w:b/>
                <w:bCs/>
                <w:color w:val="000000"/>
                <w:lang w:eastAsia="ko-KR"/>
              </w:rPr>
              <w:t>t-stat</w:t>
            </w:r>
          </w:p>
        </w:tc>
        <w:tc>
          <w:tcPr>
            <w:tcW w:w="1100" w:type="dxa"/>
            <w:tcBorders>
              <w:left w:val="single" w:sz="8" w:space="0" w:color="auto"/>
              <w:bottom w:val="single" w:sz="8" w:space="0" w:color="auto"/>
              <w:right w:val="nil"/>
            </w:tcBorders>
            <w:shd w:val="clear" w:color="auto" w:fill="auto"/>
            <w:noWrap/>
            <w:vAlign w:val="center"/>
            <w:hideMark/>
          </w:tcPr>
          <w:p w14:paraId="5CFFEE7A" w14:textId="77777777" w:rsidR="00884444" w:rsidRPr="00AA35E0" w:rsidRDefault="00884444" w:rsidP="00F92798">
            <w:pPr>
              <w:jc w:val="center"/>
              <w:rPr>
                <w:b/>
                <w:bCs/>
                <w:color w:val="000000"/>
                <w:lang w:eastAsia="ko-KR"/>
              </w:rPr>
            </w:pPr>
            <w:r w:rsidRPr="00AA35E0">
              <w:rPr>
                <w:b/>
                <w:bCs/>
                <w:color w:val="000000"/>
                <w:lang w:eastAsia="ko-KR"/>
              </w:rPr>
              <w:t>estimate</w:t>
            </w:r>
          </w:p>
        </w:tc>
        <w:tc>
          <w:tcPr>
            <w:tcW w:w="1100" w:type="dxa"/>
            <w:tcBorders>
              <w:left w:val="nil"/>
              <w:bottom w:val="single" w:sz="8" w:space="0" w:color="auto"/>
              <w:right w:val="nil"/>
            </w:tcBorders>
            <w:shd w:val="clear" w:color="auto" w:fill="auto"/>
            <w:noWrap/>
            <w:vAlign w:val="center"/>
            <w:hideMark/>
          </w:tcPr>
          <w:p w14:paraId="616CAEC9" w14:textId="77777777" w:rsidR="00884444" w:rsidRPr="00AA35E0" w:rsidRDefault="00884444" w:rsidP="00F92798">
            <w:pPr>
              <w:jc w:val="center"/>
              <w:rPr>
                <w:b/>
                <w:bCs/>
                <w:color w:val="000000"/>
                <w:lang w:eastAsia="ko-KR"/>
              </w:rPr>
            </w:pPr>
            <w:r w:rsidRPr="00AA35E0">
              <w:rPr>
                <w:b/>
                <w:bCs/>
                <w:color w:val="000000"/>
                <w:lang w:eastAsia="ko-KR"/>
              </w:rPr>
              <w:t>t-stat</w:t>
            </w:r>
          </w:p>
        </w:tc>
      </w:tr>
      <w:tr w:rsidR="00884444" w:rsidRPr="00AA35E0" w14:paraId="6217B615" w14:textId="77777777" w:rsidTr="00F92798">
        <w:trPr>
          <w:trHeight w:val="288"/>
        </w:trPr>
        <w:tc>
          <w:tcPr>
            <w:tcW w:w="960" w:type="dxa"/>
            <w:tcBorders>
              <w:top w:val="nil"/>
              <w:left w:val="nil"/>
              <w:bottom w:val="nil"/>
              <w:right w:val="nil"/>
            </w:tcBorders>
            <w:shd w:val="clear" w:color="auto" w:fill="auto"/>
            <w:noWrap/>
            <w:vAlign w:val="center"/>
            <w:hideMark/>
          </w:tcPr>
          <w:p w14:paraId="6B16350B" w14:textId="77777777" w:rsidR="00884444" w:rsidRPr="00AA35E0" w:rsidRDefault="00884444" w:rsidP="00884444">
            <w:pPr>
              <w:jc w:val="center"/>
              <w:rPr>
                <w:b/>
                <w:bCs/>
                <w:color w:val="000000"/>
                <w:lang w:eastAsia="ko-KR"/>
              </w:rPr>
            </w:pPr>
            <m:oMathPara>
              <m:oMath>
                <m:r>
                  <m:rPr>
                    <m:sty m:val="b"/>
                  </m:rPr>
                  <w:rPr>
                    <w:rFonts w:ascii="Cambria Math" w:hAnsi="Cambria Math"/>
                  </w:rPr>
                  <m:t>α</m:t>
                </m:r>
              </m:oMath>
            </m:oMathPara>
          </w:p>
        </w:tc>
        <w:tc>
          <w:tcPr>
            <w:tcW w:w="1100" w:type="dxa"/>
            <w:tcBorders>
              <w:top w:val="nil"/>
              <w:left w:val="single" w:sz="8" w:space="0" w:color="auto"/>
              <w:bottom w:val="nil"/>
              <w:right w:val="nil"/>
            </w:tcBorders>
            <w:shd w:val="clear" w:color="auto" w:fill="auto"/>
            <w:noWrap/>
            <w:vAlign w:val="bottom"/>
            <w:hideMark/>
          </w:tcPr>
          <w:p w14:paraId="4DFDD9A3" w14:textId="67CD304F" w:rsidR="00884444" w:rsidRPr="00AA35E0" w:rsidRDefault="00884444" w:rsidP="00884444">
            <w:pPr>
              <w:jc w:val="right"/>
              <w:rPr>
                <w:color w:val="000000"/>
                <w:lang w:eastAsia="ko-KR"/>
              </w:rPr>
            </w:pPr>
            <w:r w:rsidRPr="00AA35E0">
              <w:rPr>
                <w:color w:val="000000"/>
              </w:rPr>
              <w:t>1.755</w:t>
            </w:r>
          </w:p>
        </w:tc>
        <w:tc>
          <w:tcPr>
            <w:tcW w:w="1100" w:type="dxa"/>
            <w:tcBorders>
              <w:top w:val="nil"/>
              <w:left w:val="nil"/>
              <w:bottom w:val="nil"/>
              <w:right w:val="single" w:sz="8" w:space="0" w:color="auto"/>
            </w:tcBorders>
            <w:shd w:val="clear" w:color="auto" w:fill="auto"/>
            <w:noWrap/>
            <w:vAlign w:val="bottom"/>
            <w:hideMark/>
          </w:tcPr>
          <w:p w14:paraId="1E9318C2" w14:textId="6D5636AD" w:rsidR="00884444" w:rsidRPr="00941B5C" w:rsidRDefault="00884444" w:rsidP="00884444">
            <w:pPr>
              <w:jc w:val="right"/>
              <w:rPr>
                <w:b/>
                <w:color w:val="000000"/>
                <w:lang w:eastAsia="ko-KR"/>
              </w:rPr>
            </w:pPr>
            <w:r w:rsidRPr="00941B5C">
              <w:rPr>
                <w:b/>
                <w:color w:val="000000"/>
              </w:rPr>
              <w:t>4.280</w:t>
            </w:r>
          </w:p>
        </w:tc>
        <w:tc>
          <w:tcPr>
            <w:tcW w:w="1100" w:type="dxa"/>
            <w:tcBorders>
              <w:top w:val="nil"/>
              <w:left w:val="nil"/>
              <w:bottom w:val="nil"/>
              <w:right w:val="nil"/>
            </w:tcBorders>
            <w:shd w:val="clear" w:color="auto" w:fill="auto"/>
            <w:noWrap/>
            <w:vAlign w:val="bottom"/>
            <w:hideMark/>
          </w:tcPr>
          <w:p w14:paraId="0C299C74" w14:textId="06F24EDB" w:rsidR="00884444" w:rsidRPr="00AA35E0" w:rsidRDefault="00884444" w:rsidP="00884444">
            <w:pPr>
              <w:jc w:val="right"/>
              <w:rPr>
                <w:color w:val="000000"/>
                <w:lang w:eastAsia="ko-KR"/>
              </w:rPr>
            </w:pPr>
            <w:r w:rsidRPr="00AA35E0">
              <w:rPr>
                <w:color w:val="000000"/>
              </w:rPr>
              <w:t>1.086</w:t>
            </w:r>
          </w:p>
        </w:tc>
        <w:tc>
          <w:tcPr>
            <w:tcW w:w="1100" w:type="dxa"/>
            <w:tcBorders>
              <w:top w:val="nil"/>
              <w:left w:val="nil"/>
              <w:bottom w:val="nil"/>
              <w:right w:val="nil"/>
            </w:tcBorders>
            <w:shd w:val="clear" w:color="auto" w:fill="auto"/>
            <w:noWrap/>
            <w:vAlign w:val="bottom"/>
            <w:hideMark/>
          </w:tcPr>
          <w:p w14:paraId="3363B6AE" w14:textId="43FFF2E7" w:rsidR="00884444" w:rsidRPr="00941B5C" w:rsidRDefault="00884444" w:rsidP="00884444">
            <w:pPr>
              <w:jc w:val="right"/>
              <w:rPr>
                <w:b/>
                <w:color w:val="000000"/>
                <w:lang w:eastAsia="ko-KR"/>
              </w:rPr>
            </w:pPr>
            <w:r w:rsidRPr="00941B5C">
              <w:rPr>
                <w:b/>
                <w:color w:val="000000"/>
              </w:rPr>
              <w:t>2.714</w:t>
            </w:r>
          </w:p>
        </w:tc>
        <w:tc>
          <w:tcPr>
            <w:tcW w:w="1100" w:type="dxa"/>
            <w:tcBorders>
              <w:top w:val="nil"/>
              <w:left w:val="single" w:sz="8" w:space="0" w:color="auto"/>
              <w:bottom w:val="nil"/>
              <w:right w:val="nil"/>
            </w:tcBorders>
            <w:shd w:val="clear" w:color="auto" w:fill="auto"/>
            <w:noWrap/>
            <w:vAlign w:val="bottom"/>
            <w:hideMark/>
          </w:tcPr>
          <w:p w14:paraId="1363EEF4" w14:textId="6D1613A4" w:rsidR="00884444" w:rsidRPr="00AA35E0" w:rsidRDefault="00884444" w:rsidP="00884444">
            <w:pPr>
              <w:jc w:val="right"/>
              <w:rPr>
                <w:color w:val="000000"/>
                <w:lang w:eastAsia="ko-KR"/>
              </w:rPr>
            </w:pPr>
            <w:r w:rsidRPr="00AA35E0">
              <w:rPr>
                <w:color w:val="000000"/>
              </w:rPr>
              <w:t>1.009</w:t>
            </w:r>
          </w:p>
        </w:tc>
        <w:tc>
          <w:tcPr>
            <w:tcW w:w="1100" w:type="dxa"/>
            <w:tcBorders>
              <w:top w:val="nil"/>
              <w:left w:val="nil"/>
              <w:bottom w:val="nil"/>
              <w:right w:val="nil"/>
            </w:tcBorders>
            <w:shd w:val="clear" w:color="auto" w:fill="auto"/>
            <w:noWrap/>
            <w:vAlign w:val="bottom"/>
            <w:hideMark/>
          </w:tcPr>
          <w:p w14:paraId="7BD2D3E3" w14:textId="2741E78C" w:rsidR="00884444" w:rsidRPr="00941B5C" w:rsidRDefault="00884444" w:rsidP="00884444">
            <w:pPr>
              <w:jc w:val="right"/>
              <w:rPr>
                <w:b/>
                <w:color w:val="000000"/>
                <w:lang w:eastAsia="ko-KR"/>
              </w:rPr>
            </w:pPr>
            <w:r w:rsidRPr="00941B5C">
              <w:rPr>
                <w:b/>
                <w:color w:val="000000"/>
              </w:rPr>
              <w:t>2.580</w:t>
            </w:r>
          </w:p>
        </w:tc>
      </w:tr>
      <w:tr w:rsidR="00884444" w:rsidRPr="00AA35E0" w14:paraId="4BC922B6" w14:textId="77777777" w:rsidTr="00F92798">
        <w:trPr>
          <w:trHeight w:val="288"/>
        </w:trPr>
        <w:tc>
          <w:tcPr>
            <w:tcW w:w="960" w:type="dxa"/>
            <w:tcBorders>
              <w:top w:val="nil"/>
              <w:left w:val="nil"/>
              <w:bottom w:val="nil"/>
              <w:right w:val="nil"/>
            </w:tcBorders>
            <w:shd w:val="clear" w:color="auto" w:fill="auto"/>
            <w:noWrap/>
            <w:vAlign w:val="center"/>
            <w:hideMark/>
          </w:tcPr>
          <w:p w14:paraId="42B11EF7" w14:textId="77777777" w:rsidR="00884444" w:rsidRPr="00AA35E0" w:rsidRDefault="00884444" w:rsidP="00884444">
            <w:pPr>
              <w:jc w:val="center"/>
              <w:rPr>
                <w:b/>
                <w:bCs/>
                <w:color w:val="000000"/>
                <w:lang w:eastAsia="ko-KR"/>
              </w:rPr>
            </w:pPr>
            <w:r w:rsidRPr="00AA35E0">
              <w:rPr>
                <w:b/>
                <w:bCs/>
                <w:color w:val="000000"/>
                <w:lang w:eastAsia="ko-KR"/>
              </w:rPr>
              <w:t>RMRF</w:t>
            </w:r>
          </w:p>
        </w:tc>
        <w:tc>
          <w:tcPr>
            <w:tcW w:w="1100" w:type="dxa"/>
            <w:tcBorders>
              <w:top w:val="nil"/>
              <w:left w:val="single" w:sz="8" w:space="0" w:color="auto"/>
              <w:bottom w:val="nil"/>
              <w:right w:val="nil"/>
            </w:tcBorders>
            <w:shd w:val="clear" w:color="auto" w:fill="auto"/>
            <w:noWrap/>
            <w:vAlign w:val="bottom"/>
            <w:hideMark/>
          </w:tcPr>
          <w:p w14:paraId="1FFDD3AE" w14:textId="4A2878C5" w:rsidR="00884444" w:rsidRPr="00AA35E0" w:rsidRDefault="00884444" w:rsidP="00884444">
            <w:pPr>
              <w:jc w:val="right"/>
              <w:rPr>
                <w:color w:val="000000"/>
                <w:lang w:eastAsia="ko-KR"/>
              </w:rPr>
            </w:pPr>
            <w:r w:rsidRPr="00AA35E0">
              <w:rPr>
                <w:color w:val="000000"/>
              </w:rPr>
              <w:t>-0.140</w:t>
            </w:r>
          </w:p>
        </w:tc>
        <w:tc>
          <w:tcPr>
            <w:tcW w:w="1100" w:type="dxa"/>
            <w:tcBorders>
              <w:top w:val="nil"/>
              <w:left w:val="nil"/>
              <w:bottom w:val="nil"/>
              <w:right w:val="single" w:sz="8" w:space="0" w:color="auto"/>
            </w:tcBorders>
            <w:shd w:val="clear" w:color="auto" w:fill="auto"/>
            <w:noWrap/>
            <w:vAlign w:val="bottom"/>
            <w:hideMark/>
          </w:tcPr>
          <w:p w14:paraId="67AE8DE7" w14:textId="65E2237C" w:rsidR="00884444" w:rsidRPr="00AA35E0" w:rsidRDefault="00884444" w:rsidP="00884444">
            <w:pPr>
              <w:jc w:val="right"/>
              <w:rPr>
                <w:color w:val="000000"/>
                <w:lang w:eastAsia="ko-KR"/>
              </w:rPr>
            </w:pPr>
            <w:r w:rsidRPr="00AA35E0">
              <w:rPr>
                <w:color w:val="000000"/>
              </w:rPr>
              <w:t>-1.489</w:t>
            </w:r>
          </w:p>
        </w:tc>
        <w:tc>
          <w:tcPr>
            <w:tcW w:w="1100" w:type="dxa"/>
            <w:tcBorders>
              <w:top w:val="nil"/>
              <w:left w:val="nil"/>
              <w:bottom w:val="nil"/>
              <w:right w:val="nil"/>
            </w:tcBorders>
            <w:shd w:val="clear" w:color="auto" w:fill="auto"/>
            <w:noWrap/>
            <w:vAlign w:val="bottom"/>
            <w:hideMark/>
          </w:tcPr>
          <w:p w14:paraId="2E86D300" w14:textId="3431CF03" w:rsidR="00884444" w:rsidRPr="00AA35E0" w:rsidRDefault="00884444" w:rsidP="00884444">
            <w:pPr>
              <w:jc w:val="right"/>
              <w:rPr>
                <w:color w:val="000000"/>
                <w:lang w:eastAsia="ko-KR"/>
              </w:rPr>
            </w:pPr>
            <w:r w:rsidRPr="00AA35E0">
              <w:rPr>
                <w:color w:val="000000"/>
              </w:rPr>
              <w:t>0.011</w:t>
            </w:r>
          </w:p>
        </w:tc>
        <w:tc>
          <w:tcPr>
            <w:tcW w:w="1100" w:type="dxa"/>
            <w:tcBorders>
              <w:top w:val="nil"/>
              <w:left w:val="nil"/>
              <w:bottom w:val="nil"/>
              <w:right w:val="nil"/>
            </w:tcBorders>
            <w:shd w:val="clear" w:color="auto" w:fill="auto"/>
            <w:noWrap/>
            <w:vAlign w:val="bottom"/>
            <w:hideMark/>
          </w:tcPr>
          <w:p w14:paraId="0559790D" w14:textId="1698490A" w:rsidR="00884444" w:rsidRPr="00AA35E0" w:rsidRDefault="00884444" w:rsidP="00884444">
            <w:pPr>
              <w:jc w:val="right"/>
              <w:rPr>
                <w:color w:val="000000"/>
                <w:lang w:eastAsia="ko-KR"/>
              </w:rPr>
            </w:pPr>
            <w:r w:rsidRPr="00AA35E0">
              <w:rPr>
                <w:color w:val="000000"/>
              </w:rPr>
              <w:t>0.122</w:t>
            </w:r>
          </w:p>
        </w:tc>
        <w:tc>
          <w:tcPr>
            <w:tcW w:w="1100" w:type="dxa"/>
            <w:tcBorders>
              <w:top w:val="nil"/>
              <w:left w:val="single" w:sz="8" w:space="0" w:color="auto"/>
              <w:bottom w:val="nil"/>
              <w:right w:val="nil"/>
            </w:tcBorders>
            <w:shd w:val="clear" w:color="auto" w:fill="auto"/>
            <w:noWrap/>
            <w:vAlign w:val="bottom"/>
            <w:hideMark/>
          </w:tcPr>
          <w:p w14:paraId="5485973A" w14:textId="2C16E94C" w:rsidR="00884444" w:rsidRPr="00AA35E0" w:rsidRDefault="00884444" w:rsidP="00884444">
            <w:pPr>
              <w:jc w:val="right"/>
              <w:rPr>
                <w:color w:val="000000"/>
                <w:lang w:eastAsia="ko-KR"/>
              </w:rPr>
            </w:pPr>
            <w:r w:rsidRPr="00AA35E0">
              <w:rPr>
                <w:color w:val="000000"/>
              </w:rPr>
              <w:t>-0.005</w:t>
            </w:r>
          </w:p>
        </w:tc>
        <w:tc>
          <w:tcPr>
            <w:tcW w:w="1100" w:type="dxa"/>
            <w:tcBorders>
              <w:top w:val="nil"/>
              <w:left w:val="nil"/>
              <w:bottom w:val="nil"/>
              <w:right w:val="nil"/>
            </w:tcBorders>
            <w:shd w:val="clear" w:color="auto" w:fill="auto"/>
            <w:noWrap/>
            <w:vAlign w:val="bottom"/>
            <w:hideMark/>
          </w:tcPr>
          <w:p w14:paraId="24076C0E" w14:textId="662DDECC" w:rsidR="00884444" w:rsidRPr="00AA35E0" w:rsidRDefault="00884444" w:rsidP="00884444">
            <w:pPr>
              <w:jc w:val="right"/>
              <w:rPr>
                <w:color w:val="000000"/>
                <w:lang w:eastAsia="ko-KR"/>
              </w:rPr>
            </w:pPr>
            <w:r w:rsidRPr="00AA35E0">
              <w:rPr>
                <w:color w:val="000000"/>
              </w:rPr>
              <w:t>-0.053</w:t>
            </w:r>
          </w:p>
        </w:tc>
      </w:tr>
      <w:tr w:rsidR="00884444" w:rsidRPr="00AA35E0" w14:paraId="68347451" w14:textId="77777777" w:rsidTr="00F92798">
        <w:trPr>
          <w:trHeight w:val="288"/>
        </w:trPr>
        <w:tc>
          <w:tcPr>
            <w:tcW w:w="960" w:type="dxa"/>
            <w:tcBorders>
              <w:top w:val="nil"/>
              <w:left w:val="nil"/>
              <w:bottom w:val="nil"/>
              <w:right w:val="nil"/>
            </w:tcBorders>
            <w:shd w:val="clear" w:color="auto" w:fill="auto"/>
            <w:noWrap/>
            <w:vAlign w:val="center"/>
            <w:hideMark/>
          </w:tcPr>
          <w:p w14:paraId="7E4580D9" w14:textId="77777777" w:rsidR="00884444" w:rsidRPr="00AA35E0" w:rsidRDefault="00884444" w:rsidP="00884444">
            <w:pPr>
              <w:jc w:val="center"/>
              <w:rPr>
                <w:b/>
                <w:bCs/>
                <w:color w:val="000000"/>
                <w:lang w:eastAsia="ko-KR"/>
              </w:rPr>
            </w:pPr>
            <w:r w:rsidRPr="00AA35E0">
              <w:rPr>
                <w:b/>
                <w:bCs/>
                <w:color w:val="000000"/>
                <w:lang w:eastAsia="ko-KR"/>
              </w:rPr>
              <w:t>SMB</w:t>
            </w:r>
          </w:p>
        </w:tc>
        <w:tc>
          <w:tcPr>
            <w:tcW w:w="1100" w:type="dxa"/>
            <w:tcBorders>
              <w:top w:val="nil"/>
              <w:left w:val="single" w:sz="8" w:space="0" w:color="auto"/>
              <w:bottom w:val="nil"/>
              <w:right w:val="nil"/>
            </w:tcBorders>
            <w:shd w:val="clear" w:color="auto" w:fill="auto"/>
            <w:noWrap/>
            <w:vAlign w:val="bottom"/>
            <w:hideMark/>
          </w:tcPr>
          <w:p w14:paraId="4B6CF1C7" w14:textId="2A4E6910" w:rsidR="00884444" w:rsidRPr="00AA35E0" w:rsidRDefault="00884444" w:rsidP="00884444">
            <w:pPr>
              <w:jc w:val="right"/>
              <w:rPr>
                <w:color w:val="000000"/>
                <w:lang w:eastAsia="ko-KR"/>
              </w:rPr>
            </w:pPr>
            <w:r w:rsidRPr="00AA35E0">
              <w:rPr>
                <w:color w:val="000000"/>
              </w:rPr>
              <w:t>0.166</w:t>
            </w:r>
          </w:p>
        </w:tc>
        <w:tc>
          <w:tcPr>
            <w:tcW w:w="1100" w:type="dxa"/>
            <w:tcBorders>
              <w:top w:val="nil"/>
              <w:left w:val="nil"/>
              <w:bottom w:val="nil"/>
              <w:right w:val="single" w:sz="8" w:space="0" w:color="auto"/>
            </w:tcBorders>
            <w:shd w:val="clear" w:color="auto" w:fill="auto"/>
            <w:noWrap/>
            <w:vAlign w:val="bottom"/>
            <w:hideMark/>
          </w:tcPr>
          <w:p w14:paraId="2D843D54" w14:textId="24AC3184" w:rsidR="00884444" w:rsidRPr="00AA35E0" w:rsidRDefault="00884444" w:rsidP="00884444">
            <w:pPr>
              <w:jc w:val="right"/>
              <w:rPr>
                <w:color w:val="000000"/>
                <w:lang w:eastAsia="ko-KR"/>
              </w:rPr>
            </w:pPr>
            <w:r w:rsidRPr="00AA35E0">
              <w:rPr>
                <w:color w:val="000000"/>
              </w:rPr>
              <w:t>1.227</w:t>
            </w:r>
          </w:p>
        </w:tc>
        <w:tc>
          <w:tcPr>
            <w:tcW w:w="1100" w:type="dxa"/>
            <w:tcBorders>
              <w:top w:val="nil"/>
              <w:left w:val="nil"/>
              <w:bottom w:val="nil"/>
              <w:right w:val="nil"/>
            </w:tcBorders>
            <w:shd w:val="clear" w:color="auto" w:fill="auto"/>
            <w:noWrap/>
            <w:vAlign w:val="bottom"/>
            <w:hideMark/>
          </w:tcPr>
          <w:p w14:paraId="453197C8" w14:textId="442F22C0" w:rsidR="00884444" w:rsidRPr="00AA35E0" w:rsidRDefault="00884444" w:rsidP="00884444">
            <w:pPr>
              <w:jc w:val="right"/>
              <w:rPr>
                <w:color w:val="000000"/>
                <w:lang w:eastAsia="ko-KR"/>
              </w:rPr>
            </w:pPr>
            <w:r w:rsidRPr="00AA35E0">
              <w:rPr>
                <w:color w:val="000000"/>
              </w:rPr>
              <w:t>0.028</w:t>
            </w:r>
          </w:p>
        </w:tc>
        <w:tc>
          <w:tcPr>
            <w:tcW w:w="1100" w:type="dxa"/>
            <w:tcBorders>
              <w:top w:val="nil"/>
              <w:left w:val="nil"/>
              <w:bottom w:val="nil"/>
              <w:right w:val="nil"/>
            </w:tcBorders>
            <w:shd w:val="clear" w:color="auto" w:fill="auto"/>
            <w:noWrap/>
            <w:vAlign w:val="bottom"/>
            <w:hideMark/>
          </w:tcPr>
          <w:p w14:paraId="1A98AC73" w14:textId="5BB8535A" w:rsidR="00884444" w:rsidRPr="00AA35E0" w:rsidRDefault="00884444" w:rsidP="00884444">
            <w:pPr>
              <w:jc w:val="right"/>
              <w:rPr>
                <w:color w:val="000000"/>
                <w:lang w:eastAsia="ko-KR"/>
              </w:rPr>
            </w:pPr>
            <w:r w:rsidRPr="00AA35E0">
              <w:rPr>
                <w:color w:val="000000"/>
              </w:rPr>
              <w:t>0.211</w:t>
            </w:r>
          </w:p>
        </w:tc>
        <w:tc>
          <w:tcPr>
            <w:tcW w:w="1100" w:type="dxa"/>
            <w:tcBorders>
              <w:top w:val="nil"/>
              <w:left w:val="single" w:sz="8" w:space="0" w:color="auto"/>
              <w:bottom w:val="nil"/>
              <w:right w:val="nil"/>
            </w:tcBorders>
            <w:shd w:val="clear" w:color="auto" w:fill="auto"/>
            <w:noWrap/>
            <w:vAlign w:val="bottom"/>
            <w:hideMark/>
          </w:tcPr>
          <w:p w14:paraId="6E1C749E" w14:textId="63C9F32E" w:rsidR="00884444" w:rsidRPr="00AA35E0" w:rsidRDefault="00884444" w:rsidP="00884444">
            <w:pPr>
              <w:jc w:val="right"/>
              <w:rPr>
                <w:color w:val="000000"/>
                <w:lang w:eastAsia="ko-KR"/>
              </w:rPr>
            </w:pPr>
            <w:r w:rsidRPr="00AA35E0">
              <w:rPr>
                <w:color w:val="000000"/>
              </w:rPr>
              <w:t>-0.049</w:t>
            </w:r>
          </w:p>
        </w:tc>
        <w:tc>
          <w:tcPr>
            <w:tcW w:w="1100" w:type="dxa"/>
            <w:tcBorders>
              <w:top w:val="nil"/>
              <w:left w:val="nil"/>
              <w:bottom w:val="nil"/>
              <w:right w:val="nil"/>
            </w:tcBorders>
            <w:shd w:val="clear" w:color="auto" w:fill="auto"/>
            <w:noWrap/>
            <w:vAlign w:val="bottom"/>
            <w:hideMark/>
          </w:tcPr>
          <w:p w14:paraId="54B2BE1E" w14:textId="2044AF34" w:rsidR="00884444" w:rsidRPr="00AA35E0" w:rsidRDefault="00884444" w:rsidP="00884444">
            <w:pPr>
              <w:jc w:val="right"/>
              <w:rPr>
                <w:color w:val="000000"/>
                <w:lang w:eastAsia="ko-KR"/>
              </w:rPr>
            </w:pPr>
            <w:r w:rsidRPr="00AA35E0">
              <w:rPr>
                <w:color w:val="000000"/>
              </w:rPr>
              <w:t>-0.379</w:t>
            </w:r>
          </w:p>
        </w:tc>
      </w:tr>
      <w:tr w:rsidR="00884444" w:rsidRPr="00AA35E0" w14:paraId="656DA743" w14:textId="77777777" w:rsidTr="00F92798">
        <w:trPr>
          <w:trHeight w:val="288"/>
        </w:trPr>
        <w:tc>
          <w:tcPr>
            <w:tcW w:w="960" w:type="dxa"/>
            <w:tcBorders>
              <w:top w:val="nil"/>
              <w:left w:val="nil"/>
              <w:bottom w:val="nil"/>
              <w:right w:val="nil"/>
            </w:tcBorders>
            <w:shd w:val="clear" w:color="auto" w:fill="auto"/>
            <w:noWrap/>
            <w:vAlign w:val="center"/>
            <w:hideMark/>
          </w:tcPr>
          <w:p w14:paraId="3F5F2516" w14:textId="77777777" w:rsidR="00884444" w:rsidRPr="00AA35E0" w:rsidRDefault="00884444" w:rsidP="00884444">
            <w:pPr>
              <w:jc w:val="center"/>
              <w:rPr>
                <w:b/>
                <w:bCs/>
                <w:color w:val="000000"/>
                <w:lang w:eastAsia="ko-KR"/>
              </w:rPr>
            </w:pPr>
            <w:r w:rsidRPr="00AA35E0">
              <w:rPr>
                <w:b/>
                <w:bCs/>
                <w:color w:val="000000"/>
                <w:lang w:eastAsia="ko-KR"/>
              </w:rPr>
              <w:t>HML</w:t>
            </w:r>
          </w:p>
        </w:tc>
        <w:tc>
          <w:tcPr>
            <w:tcW w:w="1100" w:type="dxa"/>
            <w:tcBorders>
              <w:top w:val="nil"/>
              <w:left w:val="single" w:sz="8" w:space="0" w:color="auto"/>
              <w:bottom w:val="nil"/>
              <w:right w:val="nil"/>
            </w:tcBorders>
            <w:shd w:val="clear" w:color="auto" w:fill="auto"/>
            <w:noWrap/>
            <w:vAlign w:val="bottom"/>
            <w:hideMark/>
          </w:tcPr>
          <w:p w14:paraId="401E98C8" w14:textId="1CFB9FCD" w:rsidR="00884444" w:rsidRPr="00AA35E0" w:rsidRDefault="00884444" w:rsidP="00884444">
            <w:pPr>
              <w:jc w:val="right"/>
              <w:rPr>
                <w:color w:val="000000"/>
                <w:lang w:eastAsia="ko-KR"/>
              </w:rPr>
            </w:pPr>
            <w:r w:rsidRPr="00AA35E0">
              <w:rPr>
                <w:color w:val="000000"/>
              </w:rPr>
              <w:t>0.002</w:t>
            </w:r>
          </w:p>
        </w:tc>
        <w:tc>
          <w:tcPr>
            <w:tcW w:w="1100" w:type="dxa"/>
            <w:tcBorders>
              <w:top w:val="nil"/>
              <w:left w:val="nil"/>
              <w:bottom w:val="nil"/>
              <w:right w:val="single" w:sz="8" w:space="0" w:color="auto"/>
            </w:tcBorders>
            <w:shd w:val="clear" w:color="auto" w:fill="auto"/>
            <w:noWrap/>
            <w:vAlign w:val="bottom"/>
            <w:hideMark/>
          </w:tcPr>
          <w:p w14:paraId="70D7F7B0" w14:textId="127B7593" w:rsidR="00884444" w:rsidRPr="00AA35E0" w:rsidRDefault="00884444" w:rsidP="00884444">
            <w:pPr>
              <w:jc w:val="right"/>
              <w:rPr>
                <w:color w:val="000000"/>
                <w:lang w:eastAsia="ko-KR"/>
              </w:rPr>
            </w:pPr>
            <w:r w:rsidRPr="00AA35E0">
              <w:rPr>
                <w:color w:val="000000"/>
              </w:rPr>
              <w:t>0.013</w:t>
            </w:r>
          </w:p>
        </w:tc>
        <w:tc>
          <w:tcPr>
            <w:tcW w:w="1100" w:type="dxa"/>
            <w:tcBorders>
              <w:top w:val="nil"/>
              <w:left w:val="nil"/>
              <w:bottom w:val="nil"/>
              <w:right w:val="nil"/>
            </w:tcBorders>
            <w:shd w:val="clear" w:color="auto" w:fill="auto"/>
            <w:noWrap/>
            <w:vAlign w:val="bottom"/>
            <w:hideMark/>
          </w:tcPr>
          <w:p w14:paraId="2845FC45" w14:textId="11B7F86A" w:rsidR="00884444" w:rsidRPr="00AA35E0" w:rsidRDefault="00884444" w:rsidP="00884444">
            <w:pPr>
              <w:jc w:val="right"/>
              <w:rPr>
                <w:color w:val="000000"/>
                <w:lang w:eastAsia="ko-KR"/>
              </w:rPr>
            </w:pPr>
            <w:r w:rsidRPr="00AA35E0">
              <w:rPr>
                <w:color w:val="000000"/>
              </w:rPr>
              <w:t>-0.068</w:t>
            </w:r>
          </w:p>
        </w:tc>
        <w:tc>
          <w:tcPr>
            <w:tcW w:w="1100" w:type="dxa"/>
            <w:tcBorders>
              <w:top w:val="nil"/>
              <w:left w:val="nil"/>
              <w:bottom w:val="nil"/>
              <w:right w:val="nil"/>
            </w:tcBorders>
            <w:shd w:val="clear" w:color="auto" w:fill="auto"/>
            <w:noWrap/>
            <w:vAlign w:val="bottom"/>
            <w:hideMark/>
          </w:tcPr>
          <w:p w14:paraId="1FEBBB1C" w14:textId="762B2EFE" w:rsidR="00884444" w:rsidRPr="00AA35E0" w:rsidRDefault="00884444" w:rsidP="00884444">
            <w:pPr>
              <w:jc w:val="right"/>
              <w:rPr>
                <w:color w:val="000000"/>
                <w:lang w:eastAsia="ko-KR"/>
              </w:rPr>
            </w:pPr>
            <w:r w:rsidRPr="00AA35E0">
              <w:rPr>
                <w:color w:val="000000"/>
              </w:rPr>
              <w:t>-0.482</w:t>
            </w:r>
          </w:p>
        </w:tc>
        <w:tc>
          <w:tcPr>
            <w:tcW w:w="1100" w:type="dxa"/>
            <w:tcBorders>
              <w:top w:val="nil"/>
              <w:left w:val="single" w:sz="8" w:space="0" w:color="auto"/>
              <w:bottom w:val="nil"/>
              <w:right w:val="nil"/>
            </w:tcBorders>
            <w:shd w:val="clear" w:color="auto" w:fill="auto"/>
            <w:noWrap/>
            <w:vAlign w:val="bottom"/>
            <w:hideMark/>
          </w:tcPr>
          <w:p w14:paraId="3175E50F" w14:textId="09CCA062" w:rsidR="00884444" w:rsidRPr="00AA35E0" w:rsidRDefault="00884444" w:rsidP="00884444">
            <w:pPr>
              <w:jc w:val="right"/>
              <w:rPr>
                <w:color w:val="000000"/>
                <w:lang w:eastAsia="ko-KR"/>
              </w:rPr>
            </w:pPr>
            <w:r w:rsidRPr="00AA35E0">
              <w:rPr>
                <w:color w:val="000000"/>
              </w:rPr>
              <w:t>-0.090</w:t>
            </w:r>
          </w:p>
        </w:tc>
        <w:tc>
          <w:tcPr>
            <w:tcW w:w="1100" w:type="dxa"/>
            <w:tcBorders>
              <w:top w:val="nil"/>
              <w:left w:val="nil"/>
              <w:bottom w:val="nil"/>
              <w:right w:val="nil"/>
            </w:tcBorders>
            <w:shd w:val="clear" w:color="auto" w:fill="auto"/>
            <w:noWrap/>
            <w:vAlign w:val="bottom"/>
            <w:hideMark/>
          </w:tcPr>
          <w:p w14:paraId="12E139A8" w14:textId="2A9ACFA0" w:rsidR="00884444" w:rsidRPr="00AA35E0" w:rsidRDefault="00884444" w:rsidP="00884444">
            <w:pPr>
              <w:jc w:val="right"/>
              <w:rPr>
                <w:color w:val="000000"/>
                <w:lang w:eastAsia="ko-KR"/>
              </w:rPr>
            </w:pPr>
            <w:r w:rsidRPr="00AA35E0">
              <w:rPr>
                <w:color w:val="000000"/>
              </w:rPr>
              <w:t>-0.651</w:t>
            </w:r>
          </w:p>
        </w:tc>
      </w:tr>
    </w:tbl>
    <w:p w14:paraId="1B4EF8FC"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3AB6AF40"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0D6DF209"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4DEAF732"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4A1A0E48"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64A2C72E"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0D93A5D9" w14:textId="4CED3797" w:rsidR="00884444" w:rsidRPr="00AA35E0" w:rsidRDefault="00372A88" w:rsidP="005336DF">
      <w:pPr>
        <w:pStyle w:val="ListParagraph"/>
        <w:ind w:left="1440" w:firstLineChars="0" w:firstLine="0"/>
        <w:rPr>
          <w:rFonts w:ascii="Times New Roman" w:hAnsi="Times New Roman" w:cs="Times New Roman"/>
          <w:sz w:val="24"/>
          <w:szCs w:val="24"/>
        </w:rPr>
      </w:pPr>
      <w:r w:rsidRPr="00AA35E0">
        <w:rPr>
          <w:rFonts w:ascii="Times New Roman" w:hAnsi="Times New Roman" w:cs="Times New Roman"/>
          <w:sz w:val="24"/>
          <w:szCs w:val="24"/>
        </w:rPr>
        <w:t>Below table summarizes the regression results on the 4-factor model. Similar to what we have observed in (f), the intercept is significant for 1month-1month strategy.</w:t>
      </w:r>
      <w:r w:rsidR="00511C3C" w:rsidRPr="00AA35E0">
        <w:rPr>
          <w:rFonts w:ascii="Times New Roman" w:hAnsi="Times New Roman" w:cs="Times New Roman"/>
          <w:sz w:val="24"/>
          <w:szCs w:val="24"/>
        </w:rPr>
        <w:t xml:space="preserve"> Therefore, we can say that the additional factor fails to capture the 1month-momentum effect.</w:t>
      </w:r>
    </w:p>
    <w:tbl>
      <w:tblPr>
        <w:tblpPr w:leftFromText="180" w:rightFromText="180" w:vertAnchor="page" w:horzAnchor="margin" w:tblpXSpec="center" w:tblpY="5202"/>
        <w:tblW w:w="7560" w:type="dxa"/>
        <w:tblLayout w:type="fixed"/>
        <w:tblLook w:val="04A0" w:firstRow="1" w:lastRow="0" w:firstColumn="1" w:lastColumn="0" w:noHBand="0" w:noVBand="1"/>
      </w:tblPr>
      <w:tblGrid>
        <w:gridCol w:w="960"/>
        <w:gridCol w:w="1100"/>
        <w:gridCol w:w="1100"/>
        <w:gridCol w:w="1100"/>
        <w:gridCol w:w="1100"/>
        <w:gridCol w:w="1100"/>
        <w:gridCol w:w="1100"/>
      </w:tblGrid>
      <w:tr w:rsidR="005336DF" w:rsidRPr="00AA35E0" w14:paraId="742906E0" w14:textId="77777777" w:rsidTr="005336DF">
        <w:trPr>
          <w:trHeight w:val="300"/>
        </w:trPr>
        <w:tc>
          <w:tcPr>
            <w:tcW w:w="960" w:type="dxa"/>
            <w:tcBorders>
              <w:top w:val="nil"/>
              <w:left w:val="nil"/>
              <w:right w:val="nil"/>
            </w:tcBorders>
            <w:shd w:val="clear" w:color="auto" w:fill="auto"/>
            <w:noWrap/>
            <w:vAlign w:val="center"/>
          </w:tcPr>
          <w:p w14:paraId="13217FC6" w14:textId="77777777" w:rsidR="005336DF" w:rsidRPr="00AA35E0" w:rsidRDefault="005336DF" w:rsidP="005336DF">
            <w:pPr>
              <w:jc w:val="center"/>
              <w:rPr>
                <w:color w:val="000000"/>
                <w:lang w:eastAsia="ko-KR"/>
              </w:rPr>
            </w:pPr>
          </w:p>
        </w:tc>
        <w:tc>
          <w:tcPr>
            <w:tcW w:w="2200" w:type="dxa"/>
            <w:gridSpan w:val="2"/>
            <w:tcBorders>
              <w:top w:val="nil"/>
              <w:left w:val="single" w:sz="8" w:space="0" w:color="auto"/>
              <w:right w:val="single" w:sz="8" w:space="0" w:color="auto"/>
            </w:tcBorders>
            <w:shd w:val="clear" w:color="auto" w:fill="auto"/>
            <w:noWrap/>
            <w:vAlign w:val="center"/>
          </w:tcPr>
          <w:p w14:paraId="072F93DE" w14:textId="77777777" w:rsidR="005336DF" w:rsidRPr="00AA35E0" w:rsidRDefault="005336DF" w:rsidP="005336DF">
            <w:pPr>
              <w:jc w:val="center"/>
              <w:rPr>
                <w:b/>
                <w:bCs/>
                <w:color w:val="000000"/>
                <w:lang w:eastAsia="ko-KR"/>
              </w:rPr>
            </w:pPr>
            <w:r w:rsidRPr="00AA35E0">
              <w:rPr>
                <w:b/>
                <w:bCs/>
                <w:color w:val="000000"/>
                <w:lang w:eastAsia="ko-KR"/>
              </w:rPr>
              <w:t>1-1 strategy</w:t>
            </w:r>
          </w:p>
        </w:tc>
        <w:tc>
          <w:tcPr>
            <w:tcW w:w="2200" w:type="dxa"/>
            <w:gridSpan w:val="2"/>
            <w:tcBorders>
              <w:top w:val="nil"/>
              <w:left w:val="nil"/>
              <w:right w:val="nil"/>
            </w:tcBorders>
            <w:shd w:val="clear" w:color="auto" w:fill="auto"/>
            <w:noWrap/>
            <w:vAlign w:val="center"/>
          </w:tcPr>
          <w:p w14:paraId="47486352" w14:textId="77777777" w:rsidR="005336DF" w:rsidRPr="00AA35E0" w:rsidRDefault="005336DF" w:rsidP="005336DF">
            <w:pPr>
              <w:jc w:val="center"/>
              <w:rPr>
                <w:b/>
                <w:bCs/>
                <w:color w:val="000000"/>
                <w:lang w:eastAsia="ko-KR"/>
              </w:rPr>
            </w:pPr>
            <w:r w:rsidRPr="00AA35E0">
              <w:rPr>
                <w:b/>
                <w:bCs/>
                <w:color w:val="000000"/>
                <w:lang w:eastAsia="ko-KR"/>
              </w:rPr>
              <w:t>12-1 strategy</w:t>
            </w:r>
          </w:p>
        </w:tc>
        <w:tc>
          <w:tcPr>
            <w:tcW w:w="2200" w:type="dxa"/>
            <w:gridSpan w:val="2"/>
            <w:tcBorders>
              <w:top w:val="nil"/>
              <w:left w:val="single" w:sz="8" w:space="0" w:color="auto"/>
              <w:right w:val="nil"/>
            </w:tcBorders>
            <w:shd w:val="clear" w:color="auto" w:fill="auto"/>
            <w:noWrap/>
            <w:vAlign w:val="center"/>
          </w:tcPr>
          <w:p w14:paraId="3F17190E" w14:textId="77777777" w:rsidR="005336DF" w:rsidRPr="00AA35E0" w:rsidRDefault="005336DF" w:rsidP="005336DF">
            <w:pPr>
              <w:jc w:val="center"/>
              <w:rPr>
                <w:b/>
                <w:bCs/>
                <w:color w:val="000000"/>
                <w:lang w:eastAsia="ko-KR"/>
              </w:rPr>
            </w:pPr>
            <w:r w:rsidRPr="00AA35E0">
              <w:rPr>
                <w:b/>
                <w:bCs/>
                <w:color w:val="000000"/>
                <w:lang w:eastAsia="ko-KR"/>
              </w:rPr>
              <w:t>12-2 strategy</w:t>
            </w:r>
          </w:p>
        </w:tc>
      </w:tr>
      <w:tr w:rsidR="005336DF" w:rsidRPr="00AA35E0" w14:paraId="39D9274E" w14:textId="77777777" w:rsidTr="005336DF">
        <w:trPr>
          <w:trHeight w:val="300"/>
        </w:trPr>
        <w:tc>
          <w:tcPr>
            <w:tcW w:w="960" w:type="dxa"/>
            <w:tcBorders>
              <w:left w:val="nil"/>
              <w:bottom w:val="single" w:sz="8" w:space="0" w:color="auto"/>
              <w:right w:val="nil"/>
            </w:tcBorders>
            <w:shd w:val="clear" w:color="auto" w:fill="auto"/>
            <w:noWrap/>
            <w:vAlign w:val="center"/>
            <w:hideMark/>
          </w:tcPr>
          <w:p w14:paraId="64F9A294" w14:textId="77777777" w:rsidR="005336DF" w:rsidRPr="00AA35E0" w:rsidRDefault="005336DF" w:rsidP="005336DF">
            <w:pPr>
              <w:jc w:val="center"/>
              <w:rPr>
                <w:color w:val="000000"/>
                <w:lang w:eastAsia="ko-KR"/>
              </w:rPr>
            </w:pPr>
          </w:p>
        </w:tc>
        <w:tc>
          <w:tcPr>
            <w:tcW w:w="1100" w:type="dxa"/>
            <w:tcBorders>
              <w:left w:val="single" w:sz="8" w:space="0" w:color="auto"/>
              <w:bottom w:val="single" w:sz="8" w:space="0" w:color="auto"/>
              <w:right w:val="nil"/>
            </w:tcBorders>
            <w:shd w:val="clear" w:color="auto" w:fill="auto"/>
            <w:noWrap/>
            <w:vAlign w:val="center"/>
            <w:hideMark/>
          </w:tcPr>
          <w:p w14:paraId="57DEF47C" w14:textId="77777777" w:rsidR="005336DF" w:rsidRPr="00AA35E0" w:rsidRDefault="005336DF" w:rsidP="005336DF">
            <w:pPr>
              <w:jc w:val="center"/>
              <w:rPr>
                <w:b/>
                <w:bCs/>
                <w:color w:val="000000"/>
                <w:lang w:eastAsia="ko-KR"/>
              </w:rPr>
            </w:pPr>
            <w:r w:rsidRPr="00AA35E0">
              <w:rPr>
                <w:b/>
                <w:bCs/>
                <w:color w:val="000000"/>
                <w:lang w:eastAsia="ko-KR"/>
              </w:rPr>
              <w:t>estimate</w:t>
            </w:r>
          </w:p>
        </w:tc>
        <w:tc>
          <w:tcPr>
            <w:tcW w:w="1100" w:type="dxa"/>
            <w:tcBorders>
              <w:left w:val="nil"/>
              <w:bottom w:val="single" w:sz="8" w:space="0" w:color="auto"/>
              <w:right w:val="single" w:sz="8" w:space="0" w:color="auto"/>
            </w:tcBorders>
            <w:shd w:val="clear" w:color="auto" w:fill="auto"/>
            <w:noWrap/>
            <w:vAlign w:val="center"/>
            <w:hideMark/>
          </w:tcPr>
          <w:p w14:paraId="1F562865" w14:textId="77777777" w:rsidR="005336DF" w:rsidRPr="00AA35E0" w:rsidRDefault="005336DF" w:rsidP="005336DF">
            <w:pPr>
              <w:jc w:val="center"/>
              <w:rPr>
                <w:b/>
                <w:bCs/>
                <w:color w:val="000000"/>
                <w:lang w:eastAsia="ko-KR"/>
              </w:rPr>
            </w:pPr>
            <w:r w:rsidRPr="00AA35E0">
              <w:rPr>
                <w:b/>
                <w:bCs/>
                <w:color w:val="000000"/>
                <w:lang w:eastAsia="ko-KR"/>
              </w:rPr>
              <w:t>t-stat</w:t>
            </w:r>
          </w:p>
        </w:tc>
        <w:tc>
          <w:tcPr>
            <w:tcW w:w="1100" w:type="dxa"/>
            <w:tcBorders>
              <w:left w:val="nil"/>
              <w:bottom w:val="single" w:sz="8" w:space="0" w:color="auto"/>
              <w:right w:val="nil"/>
            </w:tcBorders>
            <w:shd w:val="clear" w:color="auto" w:fill="auto"/>
            <w:noWrap/>
            <w:vAlign w:val="center"/>
            <w:hideMark/>
          </w:tcPr>
          <w:p w14:paraId="47585B05" w14:textId="77777777" w:rsidR="005336DF" w:rsidRPr="00AA35E0" w:rsidRDefault="005336DF" w:rsidP="005336DF">
            <w:pPr>
              <w:jc w:val="center"/>
              <w:rPr>
                <w:b/>
                <w:bCs/>
                <w:color w:val="000000"/>
                <w:lang w:eastAsia="ko-KR"/>
              </w:rPr>
            </w:pPr>
            <w:r w:rsidRPr="00AA35E0">
              <w:rPr>
                <w:b/>
                <w:bCs/>
                <w:color w:val="000000"/>
                <w:lang w:eastAsia="ko-KR"/>
              </w:rPr>
              <w:t>estimate</w:t>
            </w:r>
          </w:p>
        </w:tc>
        <w:tc>
          <w:tcPr>
            <w:tcW w:w="1100" w:type="dxa"/>
            <w:tcBorders>
              <w:left w:val="nil"/>
              <w:bottom w:val="single" w:sz="8" w:space="0" w:color="auto"/>
              <w:right w:val="nil"/>
            </w:tcBorders>
            <w:shd w:val="clear" w:color="auto" w:fill="auto"/>
            <w:noWrap/>
            <w:vAlign w:val="center"/>
            <w:hideMark/>
          </w:tcPr>
          <w:p w14:paraId="23A8AEBA" w14:textId="77777777" w:rsidR="005336DF" w:rsidRPr="00AA35E0" w:rsidRDefault="005336DF" w:rsidP="005336DF">
            <w:pPr>
              <w:jc w:val="center"/>
              <w:rPr>
                <w:b/>
                <w:bCs/>
                <w:color w:val="000000"/>
                <w:lang w:eastAsia="ko-KR"/>
              </w:rPr>
            </w:pPr>
            <w:r w:rsidRPr="00AA35E0">
              <w:rPr>
                <w:b/>
                <w:bCs/>
                <w:color w:val="000000"/>
                <w:lang w:eastAsia="ko-KR"/>
              </w:rPr>
              <w:t>t-stat</w:t>
            </w:r>
          </w:p>
        </w:tc>
        <w:tc>
          <w:tcPr>
            <w:tcW w:w="1100" w:type="dxa"/>
            <w:tcBorders>
              <w:left w:val="single" w:sz="8" w:space="0" w:color="auto"/>
              <w:bottom w:val="single" w:sz="8" w:space="0" w:color="auto"/>
              <w:right w:val="nil"/>
            </w:tcBorders>
            <w:shd w:val="clear" w:color="auto" w:fill="auto"/>
            <w:noWrap/>
            <w:vAlign w:val="center"/>
            <w:hideMark/>
          </w:tcPr>
          <w:p w14:paraId="1943DC3B" w14:textId="77777777" w:rsidR="005336DF" w:rsidRPr="00AA35E0" w:rsidRDefault="005336DF" w:rsidP="005336DF">
            <w:pPr>
              <w:jc w:val="center"/>
              <w:rPr>
                <w:b/>
                <w:bCs/>
                <w:color w:val="000000"/>
                <w:lang w:eastAsia="ko-KR"/>
              </w:rPr>
            </w:pPr>
            <w:r w:rsidRPr="00AA35E0">
              <w:rPr>
                <w:b/>
                <w:bCs/>
                <w:color w:val="000000"/>
                <w:lang w:eastAsia="ko-KR"/>
              </w:rPr>
              <w:t>estimate</w:t>
            </w:r>
          </w:p>
        </w:tc>
        <w:tc>
          <w:tcPr>
            <w:tcW w:w="1100" w:type="dxa"/>
            <w:tcBorders>
              <w:left w:val="nil"/>
              <w:bottom w:val="single" w:sz="8" w:space="0" w:color="auto"/>
              <w:right w:val="nil"/>
            </w:tcBorders>
            <w:shd w:val="clear" w:color="auto" w:fill="auto"/>
            <w:noWrap/>
            <w:vAlign w:val="center"/>
            <w:hideMark/>
          </w:tcPr>
          <w:p w14:paraId="5B6481EC" w14:textId="77777777" w:rsidR="005336DF" w:rsidRPr="00AA35E0" w:rsidRDefault="005336DF" w:rsidP="005336DF">
            <w:pPr>
              <w:jc w:val="center"/>
              <w:rPr>
                <w:b/>
                <w:bCs/>
                <w:color w:val="000000"/>
                <w:lang w:eastAsia="ko-KR"/>
              </w:rPr>
            </w:pPr>
            <w:r w:rsidRPr="00AA35E0">
              <w:rPr>
                <w:b/>
                <w:bCs/>
                <w:color w:val="000000"/>
                <w:lang w:eastAsia="ko-KR"/>
              </w:rPr>
              <w:t>t-stat</w:t>
            </w:r>
          </w:p>
        </w:tc>
      </w:tr>
      <w:tr w:rsidR="005336DF" w:rsidRPr="00AA35E0" w14:paraId="4501D512" w14:textId="77777777" w:rsidTr="005336DF">
        <w:trPr>
          <w:trHeight w:val="288"/>
        </w:trPr>
        <w:tc>
          <w:tcPr>
            <w:tcW w:w="960" w:type="dxa"/>
            <w:tcBorders>
              <w:top w:val="nil"/>
              <w:left w:val="nil"/>
              <w:bottom w:val="nil"/>
              <w:right w:val="nil"/>
            </w:tcBorders>
            <w:shd w:val="clear" w:color="auto" w:fill="auto"/>
            <w:noWrap/>
            <w:vAlign w:val="center"/>
            <w:hideMark/>
          </w:tcPr>
          <w:p w14:paraId="5AC5BCBE" w14:textId="77777777" w:rsidR="005336DF" w:rsidRPr="00AA35E0" w:rsidRDefault="005336DF" w:rsidP="005336DF">
            <w:pPr>
              <w:jc w:val="center"/>
              <w:rPr>
                <w:b/>
                <w:bCs/>
                <w:color w:val="000000"/>
                <w:lang w:eastAsia="ko-KR"/>
              </w:rPr>
            </w:pPr>
            <m:oMathPara>
              <m:oMath>
                <m:r>
                  <m:rPr>
                    <m:sty m:val="b"/>
                  </m:rPr>
                  <w:rPr>
                    <w:rFonts w:ascii="Cambria Math" w:hAnsi="Cambria Math"/>
                  </w:rPr>
                  <m:t>α</m:t>
                </m:r>
              </m:oMath>
            </m:oMathPara>
          </w:p>
        </w:tc>
        <w:tc>
          <w:tcPr>
            <w:tcW w:w="1100" w:type="dxa"/>
            <w:tcBorders>
              <w:top w:val="nil"/>
              <w:left w:val="single" w:sz="8" w:space="0" w:color="auto"/>
              <w:bottom w:val="nil"/>
              <w:right w:val="nil"/>
            </w:tcBorders>
            <w:shd w:val="clear" w:color="auto" w:fill="auto"/>
            <w:noWrap/>
            <w:vAlign w:val="bottom"/>
            <w:hideMark/>
          </w:tcPr>
          <w:p w14:paraId="6EE6A3F4" w14:textId="77777777" w:rsidR="005336DF" w:rsidRPr="00AA35E0" w:rsidRDefault="005336DF" w:rsidP="005336DF">
            <w:pPr>
              <w:jc w:val="right"/>
              <w:rPr>
                <w:color w:val="000000"/>
                <w:lang w:eastAsia="ko-KR"/>
              </w:rPr>
            </w:pPr>
            <w:r w:rsidRPr="00AA35E0">
              <w:rPr>
                <w:color w:val="000000"/>
              </w:rPr>
              <w:t>1.578</w:t>
            </w:r>
          </w:p>
        </w:tc>
        <w:tc>
          <w:tcPr>
            <w:tcW w:w="1100" w:type="dxa"/>
            <w:tcBorders>
              <w:top w:val="nil"/>
              <w:left w:val="nil"/>
              <w:bottom w:val="nil"/>
              <w:right w:val="single" w:sz="8" w:space="0" w:color="auto"/>
            </w:tcBorders>
            <w:shd w:val="clear" w:color="auto" w:fill="auto"/>
            <w:noWrap/>
            <w:vAlign w:val="bottom"/>
            <w:hideMark/>
          </w:tcPr>
          <w:p w14:paraId="212CCD2A" w14:textId="77777777" w:rsidR="005336DF" w:rsidRPr="00941B5C" w:rsidRDefault="005336DF" w:rsidP="005336DF">
            <w:pPr>
              <w:jc w:val="right"/>
              <w:rPr>
                <w:b/>
                <w:color w:val="000000"/>
                <w:lang w:eastAsia="ko-KR"/>
              </w:rPr>
            </w:pPr>
            <w:r w:rsidRPr="00941B5C">
              <w:rPr>
                <w:b/>
                <w:color w:val="000000"/>
              </w:rPr>
              <w:t>3.775</w:t>
            </w:r>
          </w:p>
        </w:tc>
        <w:tc>
          <w:tcPr>
            <w:tcW w:w="1100" w:type="dxa"/>
            <w:tcBorders>
              <w:top w:val="nil"/>
              <w:left w:val="nil"/>
              <w:bottom w:val="nil"/>
              <w:right w:val="nil"/>
            </w:tcBorders>
            <w:shd w:val="clear" w:color="auto" w:fill="auto"/>
            <w:noWrap/>
            <w:vAlign w:val="bottom"/>
            <w:hideMark/>
          </w:tcPr>
          <w:p w14:paraId="4EC7921C" w14:textId="77777777" w:rsidR="005336DF" w:rsidRPr="00AA35E0" w:rsidRDefault="005336DF" w:rsidP="005336DF">
            <w:pPr>
              <w:jc w:val="right"/>
              <w:rPr>
                <w:color w:val="000000"/>
                <w:lang w:eastAsia="ko-KR"/>
              </w:rPr>
            </w:pPr>
            <w:r w:rsidRPr="00AA35E0">
              <w:rPr>
                <w:color w:val="000000"/>
              </w:rPr>
              <w:t>0.649</w:t>
            </w:r>
          </w:p>
        </w:tc>
        <w:tc>
          <w:tcPr>
            <w:tcW w:w="1100" w:type="dxa"/>
            <w:tcBorders>
              <w:top w:val="nil"/>
              <w:left w:val="nil"/>
              <w:bottom w:val="nil"/>
              <w:right w:val="nil"/>
            </w:tcBorders>
            <w:shd w:val="clear" w:color="auto" w:fill="auto"/>
            <w:noWrap/>
            <w:vAlign w:val="bottom"/>
            <w:hideMark/>
          </w:tcPr>
          <w:p w14:paraId="593D0B72" w14:textId="77777777" w:rsidR="005336DF" w:rsidRPr="00AA35E0" w:rsidRDefault="005336DF" w:rsidP="005336DF">
            <w:pPr>
              <w:jc w:val="right"/>
              <w:rPr>
                <w:color w:val="000000"/>
                <w:lang w:eastAsia="ko-KR"/>
              </w:rPr>
            </w:pPr>
            <w:r w:rsidRPr="00AA35E0">
              <w:rPr>
                <w:color w:val="000000"/>
              </w:rPr>
              <w:t>1.621</w:t>
            </w:r>
          </w:p>
        </w:tc>
        <w:tc>
          <w:tcPr>
            <w:tcW w:w="1100" w:type="dxa"/>
            <w:tcBorders>
              <w:top w:val="nil"/>
              <w:left w:val="single" w:sz="8" w:space="0" w:color="auto"/>
              <w:bottom w:val="nil"/>
              <w:right w:val="nil"/>
            </w:tcBorders>
            <w:shd w:val="clear" w:color="auto" w:fill="auto"/>
            <w:noWrap/>
            <w:vAlign w:val="bottom"/>
            <w:hideMark/>
          </w:tcPr>
          <w:p w14:paraId="15ECF500" w14:textId="77777777" w:rsidR="005336DF" w:rsidRPr="00AA35E0" w:rsidRDefault="005336DF" w:rsidP="005336DF">
            <w:pPr>
              <w:jc w:val="right"/>
              <w:rPr>
                <w:color w:val="000000"/>
                <w:lang w:eastAsia="ko-KR"/>
              </w:rPr>
            </w:pPr>
            <w:r w:rsidRPr="00AA35E0">
              <w:rPr>
                <w:color w:val="000000"/>
              </w:rPr>
              <w:t>0.663</w:t>
            </w:r>
          </w:p>
        </w:tc>
        <w:tc>
          <w:tcPr>
            <w:tcW w:w="1100" w:type="dxa"/>
            <w:tcBorders>
              <w:top w:val="nil"/>
              <w:left w:val="nil"/>
              <w:bottom w:val="nil"/>
              <w:right w:val="nil"/>
            </w:tcBorders>
            <w:shd w:val="clear" w:color="auto" w:fill="auto"/>
            <w:noWrap/>
            <w:vAlign w:val="bottom"/>
            <w:hideMark/>
          </w:tcPr>
          <w:p w14:paraId="3E7FB9A5" w14:textId="77777777" w:rsidR="005336DF" w:rsidRPr="00AA35E0" w:rsidRDefault="005336DF" w:rsidP="005336DF">
            <w:pPr>
              <w:jc w:val="right"/>
              <w:rPr>
                <w:color w:val="000000"/>
                <w:lang w:eastAsia="ko-KR"/>
              </w:rPr>
            </w:pPr>
            <w:r w:rsidRPr="00AA35E0">
              <w:rPr>
                <w:color w:val="000000"/>
              </w:rPr>
              <w:t>1.680</w:t>
            </w:r>
          </w:p>
        </w:tc>
      </w:tr>
      <w:tr w:rsidR="005336DF" w:rsidRPr="00AA35E0" w14:paraId="3F0443F5" w14:textId="77777777" w:rsidTr="005336DF">
        <w:trPr>
          <w:trHeight w:val="288"/>
        </w:trPr>
        <w:tc>
          <w:tcPr>
            <w:tcW w:w="960" w:type="dxa"/>
            <w:tcBorders>
              <w:top w:val="nil"/>
              <w:left w:val="nil"/>
              <w:bottom w:val="nil"/>
              <w:right w:val="nil"/>
            </w:tcBorders>
            <w:shd w:val="clear" w:color="auto" w:fill="auto"/>
            <w:noWrap/>
            <w:vAlign w:val="center"/>
            <w:hideMark/>
          </w:tcPr>
          <w:p w14:paraId="7257DD1E" w14:textId="77777777" w:rsidR="005336DF" w:rsidRPr="00AA35E0" w:rsidRDefault="005336DF" w:rsidP="005336DF">
            <w:pPr>
              <w:jc w:val="center"/>
              <w:rPr>
                <w:b/>
                <w:bCs/>
                <w:color w:val="000000"/>
                <w:lang w:eastAsia="ko-KR"/>
              </w:rPr>
            </w:pPr>
            <w:r w:rsidRPr="00AA35E0">
              <w:rPr>
                <w:b/>
                <w:bCs/>
                <w:color w:val="000000"/>
                <w:lang w:eastAsia="ko-KR"/>
              </w:rPr>
              <w:t>RMRF</w:t>
            </w:r>
          </w:p>
        </w:tc>
        <w:tc>
          <w:tcPr>
            <w:tcW w:w="1100" w:type="dxa"/>
            <w:tcBorders>
              <w:top w:val="nil"/>
              <w:left w:val="single" w:sz="8" w:space="0" w:color="auto"/>
              <w:bottom w:val="nil"/>
              <w:right w:val="nil"/>
            </w:tcBorders>
            <w:shd w:val="clear" w:color="auto" w:fill="auto"/>
            <w:noWrap/>
            <w:vAlign w:val="bottom"/>
            <w:hideMark/>
          </w:tcPr>
          <w:p w14:paraId="2FCAAFFA" w14:textId="77777777" w:rsidR="005336DF" w:rsidRPr="00AA35E0" w:rsidRDefault="005336DF" w:rsidP="005336DF">
            <w:pPr>
              <w:jc w:val="right"/>
              <w:rPr>
                <w:color w:val="000000"/>
                <w:lang w:eastAsia="ko-KR"/>
              </w:rPr>
            </w:pPr>
            <w:r w:rsidRPr="00AA35E0">
              <w:rPr>
                <w:color w:val="000000"/>
              </w:rPr>
              <w:t>-0.101</w:t>
            </w:r>
          </w:p>
        </w:tc>
        <w:tc>
          <w:tcPr>
            <w:tcW w:w="1100" w:type="dxa"/>
            <w:tcBorders>
              <w:top w:val="nil"/>
              <w:left w:val="nil"/>
              <w:bottom w:val="nil"/>
              <w:right w:val="single" w:sz="8" w:space="0" w:color="auto"/>
            </w:tcBorders>
            <w:shd w:val="clear" w:color="auto" w:fill="auto"/>
            <w:noWrap/>
            <w:vAlign w:val="bottom"/>
            <w:hideMark/>
          </w:tcPr>
          <w:p w14:paraId="0DCDC8D7" w14:textId="77777777" w:rsidR="005336DF" w:rsidRPr="00AA35E0" w:rsidRDefault="005336DF" w:rsidP="005336DF">
            <w:pPr>
              <w:jc w:val="right"/>
              <w:rPr>
                <w:color w:val="000000"/>
                <w:lang w:eastAsia="ko-KR"/>
              </w:rPr>
            </w:pPr>
            <w:r w:rsidRPr="00AA35E0">
              <w:rPr>
                <w:color w:val="000000"/>
              </w:rPr>
              <w:t>-1.057</w:t>
            </w:r>
          </w:p>
        </w:tc>
        <w:tc>
          <w:tcPr>
            <w:tcW w:w="1100" w:type="dxa"/>
            <w:tcBorders>
              <w:top w:val="nil"/>
              <w:left w:val="nil"/>
              <w:bottom w:val="nil"/>
              <w:right w:val="nil"/>
            </w:tcBorders>
            <w:shd w:val="clear" w:color="auto" w:fill="auto"/>
            <w:noWrap/>
            <w:vAlign w:val="bottom"/>
            <w:hideMark/>
          </w:tcPr>
          <w:p w14:paraId="2A9E8A5E" w14:textId="77777777" w:rsidR="005336DF" w:rsidRPr="00AA35E0" w:rsidRDefault="005336DF" w:rsidP="005336DF">
            <w:pPr>
              <w:jc w:val="right"/>
              <w:rPr>
                <w:color w:val="000000"/>
                <w:lang w:eastAsia="ko-KR"/>
              </w:rPr>
            </w:pPr>
            <w:r w:rsidRPr="00AA35E0">
              <w:rPr>
                <w:color w:val="000000"/>
              </w:rPr>
              <w:t>0.106</w:t>
            </w:r>
          </w:p>
        </w:tc>
        <w:tc>
          <w:tcPr>
            <w:tcW w:w="1100" w:type="dxa"/>
            <w:tcBorders>
              <w:top w:val="nil"/>
              <w:left w:val="nil"/>
              <w:bottom w:val="nil"/>
              <w:right w:val="nil"/>
            </w:tcBorders>
            <w:shd w:val="clear" w:color="auto" w:fill="auto"/>
            <w:noWrap/>
            <w:vAlign w:val="bottom"/>
            <w:hideMark/>
          </w:tcPr>
          <w:p w14:paraId="1F2EFCB6" w14:textId="77777777" w:rsidR="005336DF" w:rsidRPr="00AA35E0" w:rsidRDefault="005336DF" w:rsidP="005336DF">
            <w:pPr>
              <w:jc w:val="right"/>
              <w:rPr>
                <w:color w:val="000000"/>
                <w:lang w:eastAsia="ko-KR"/>
              </w:rPr>
            </w:pPr>
            <w:r w:rsidRPr="00AA35E0">
              <w:rPr>
                <w:color w:val="000000"/>
              </w:rPr>
              <w:t>1.153</w:t>
            </w:r>
          </w:p>
        </w:tc>
        <w:tc>
          <w:tcPr>
            <w:tcW w:w="1100" w:type="dxa"/>
            <w:tcBorders>
              <w:top w:val="nil"/>
              <w:left w:val="single" w:sz="8" w:space="0" w:color="auto"/>
              <w:bottom w:val="nil"/>
              <w:right w:val="nil"/>
            </w:tcBorders>
            <w:shd w:val="clear" w:color="auto" w:fill="auto"/>
            <w:noWrap/>
            <w:vAlign w:val="bottom"/>
            <w:hideMark/>
          </w:tcPr>
          <w:p w14:paraId="68A18D4F" w14:textId="77777777" w:rsidR="005336DF" w:rsidRPr="00AA35E0" w:rsidRDefault="005336DF" w:rsidP="005336DF">
            <w:pPr>
              <w:jc w:val="right"/>
              <w:rPr>
                <w:color w:val="000000"/>
                <w:lang w:eastAsia="ko-KR"/>
              </w:rPr>
            </w:pPr>
            <w:r w:rsidRPr="00AA35E0">
              <w:rPr>
                <w:color w:val="000000"/>
              </w:rPr>
              <w:t>0.070</w:t>
            </w:r>
          </w:p>
        </w:tc>
        <w:tc>
          <w:tcPr>
            <w:tcW w:w="1100" w:type="dxa"/>
            <w:tcBorders>
              <w:top w:val="nil"/>
              <w:left w:val="nil"/>
              <w:bottom w:val="nil"/>
              <w:right w:val="nil"/>
            </w:tcBorders>
            <w:shd w:val="clear" w:color="auto" w:fill="auto"/>
            <w:noWrap/>
            <w:vAlign w:val="bottom"/>
            <w:hideMark/>
          </w:tcPr>
          <w:p w14:paraId="18B6FC93" w14:textId="77777777" w:rsidR="005336DF" w:rsidRPr="00AA35E0" w:rsidRDefault="005336DF" w:rsidP="005336DF">
            <w:pPr>
              <w:jc w:val="right"/>
              <w:rPr>
                <w:color w:val="000000"/>
                <w:lang w:eastAsia="ko-KR"/>
              </w:rPr>
            </w:pPr>
            <w:r w:rsidRPr="00AA35E0">
              <w:rPr>
                <w:color w:val="000000"/>
              </w:rPr>
              <w:t>0.775</w:t>
            </w:r>
          </w:p>
        </w:tc>
      </w:tr>
      <w:tr w:rsidR="005336DF" w:rsidRPr="00AA35E0" w14:paraId="5F3C052E" w14:textId="77777777" w:rsidTr="005336DF">
        <w:trPr>
          <w:trHeight w:val="288"/>
        </w:trPr>
        <w:tc>
          <w:tcPr>
            <w:tcW w:w="960" w:type="dxa"/>
            <w:tcBorders>
              <w:top w:val="nil"/>
              <w:left w:val="nil"/>
              <w:bottom w:val="nil"/>
              <w:right w:val="nil"/>
            </w:tcBorders>
            <w:shd w:val="clear" w:color="auto" w:fill="auto"/>
            <w:noWrap/>
            <w:vAlign w:val="center"/>
            <w:hideMark/>
          </w:tcPr>
          <w:p w14:paraId="21AFDC75" w14:textId="77777777" w:rsidR="005336DF" w:rsidRPr="00AA35E0" w:rsidRDefault="005336DF" w:rsidP="005336DF">
            <w:pPr>
              <w:jc w:val="center"/>
              <w:rPr>
                <w:b/>
                <w:bCs/>
                <w:color w:val="000000"/>
                <w:lang w:eastAsia="ko-KR"/>
              </w:rPr>
            </w:pPr>
            <w:r w:rsidRPr="00AA35E0">
              <w:rPr>
                <w:b/>
                <w:bCs/>
                <w:color w:val="000000"/>
                <w:lang w:eastAsia="ko-KR"/>
              </w:rPr>
              <w:t>SMB</w:t>
            </w:r>
          </w:p>
        </w:tc>
        <w:tc>
          <w:tcPr>
            <w:tcW w:w="1100" w:type="dxa"/>
            <w:tcBorders>
              <w:top w:val="nil"/>
              <w:left w:val="single" w:sz="8" w:space="0" w:color="auto"/>
              <w:bottom w:val="nil"/>
              <w:right w:val="nil"/>
            </w:tcBorders>
            <w:shd w:val="clear" w:color="auto" w:fill="auto"/>
            <w:noWrap/>
            <w:vAlign w:val="bottom"/>
            <w:hideMark/>
          </w:tcPr>
          <w:p w14:paraId="72A92ECC" w14:textId="77777777" w:rsidR="005336DF" w:rsidRPr="00AA35E0" w:rsidRDefault="005336DF" w:rsidP="005336DF">
            <w:pPr>
              <w:jc w:val="right"/>
              <w:rPr>
                <w:color w:val="000000"/>
                <w:lang w:eastAsia="ko-KR"/>
              </w:rPr>
            </w:pPr>
            <w:r w:rsidRPr="00AA35E0">
              <w:rPr>
                <w:color w:val="000000"/>
              </w:rPr>
              <w:t>0.170</w:t>
            </w:r>
          </w:p>
        </w:tc>
        <w:tc>
          <w:tcPr>
            <w:tcW w:w="1100" w:type="dxa"/>
            <w:tcBorders>
              <w:top w:val="nil"/>
              <w:left w:val="nil"/>
              <w:bottom w:val="nil"/>
              <w:right w:val="single" w:sz="8" w:space="0" w:color="auto"/>
            </w:tcBorders>
            <w:shd w:val="clear" w:color="auto" w:fill="auto"/>
            <w:noWrap/>
            <w:vAlign w:val="bottom"/>
            <w:hideMark/>
          </w:tcPr>
          <w:p w14:paraId="5F752E16" w14:textId="77777777" w:rsidR="005336DF" w:rsidRPr="00AA35E0" w:rsidRDefault="005336DF" w:rsidP="005336DF">
            <w:pPr>
              <w:jc w:val="right"/>
              <w:rPr>
                <w:color w:val="000000"/>
                <w:lang w:eastAsia="ko-KR"/>
              </w:rPr>
            </w:pPr>
            <w:r w:rsidRPr="00AA35E0">
              <w:rPr>
                <w:color w:val="000000"/>
              </w:rPr>
              <w:t>1.260</w:t>
            </w:r>
          </w:p>
        </w:tc>
        <w:tc>
          <w:tcPr>
            <w:tcW w:w="1100" w:type="dxa"/>
            <w:tcBorders>
              <w:top w:val="nil"/>
              <w:left w:val="nil"/>
              <w:bottom w:val="nil"/>
              <w:right w:val="nil"/>
            </w:tcBorders>
            <w:shd w:val="clear" w:color="auto" w:fill="auto"/>
            <w:noWrap/>
            <w:vAlign w:val="bottom"/>
            <w:hideMark/>
          </w:tcPr>
          <w:p w14:paraId="2D75E413" w14:textId="77777777" w:rsidR="005336DF" w:rsidRPr="00AA35E0" w:rsidRDefault="005336DF" w:rsidP="005336DF">
            <w:pPr>
              <w:jc w:val="right"/>
              <w:rPr>
                <w:color w:val="000000"/>
                <w:lang w:eastAsia="ko-KR"/>
              </w:rPr>
            </w:pPr>
            <w:r w:rsidRPr="00AA35E0">
              <w:rPr>
                <w:color w:val="000000"/>
              </w:rPr>
              <w:t>0.026</w:t>
            </w:r>
          </w:p>
        </w:tc>
        <w:tc>
          <w:tcPr>
            <w:tcW w:w="1100" w:type="dxa"/>
            <w:tcBorders>
              <w:top w:val="nil"/>
              <w:left w:val="nil"/>
              <w:bottom w:val="nil"/>
              <w:right w:val="nil"/>
            </w:tcBorders>
            <w:shd w:val="clear" w:color="auto" w:fill="auto"/>
            <w:noWrap/>
            <w:vAlign w:val="bottom"/>
            <w:hideMark/>
          </w:tcPr>
          <w:p w14:paraId="1EBB7DD4" w14:textId="77777777" w:rsidR="005336DF" w:rsidRPr="00AA35E0" w:rsidRDefault="005336DF" w:rsidP="005336DF">
            <w:pPr>
              <w:jc w:val="right"/>
              <w:rPr>
                <w:color w:val="000000"/>
                <w:lang w:eastAsia="ko-KR"/>
              </w:rPr>
            </w:pPr>
            <w:r w:rsidRPr="00AA35E0">
              <w:rPr>
                <w:color w:val="000000"/>
              </w:rPr>
              <w:t>0.201</w:t>
            </w:r>
          </w:p>
        </w:tc>
        <w:tc>
          <w:tcPr>
            <w:tcW w:w="1100" w:type="dxa"/>
            <w:tcBorders>
              <w:top w:val="nil"/>
              <w:left w:val="single" w:sz="8" w:space="0" w:color="auto"/>
              <w:bottom w:val="nil"/>
              <w:right w:val="nil"/>
            </w:tcBorders>
            <w:shd w:val="clear" w:color="auto" w:fill="auto"/>
            <w:noWrap/>
            <w:vAlign w:val="bottom"/>
            <w:hideMark/>
          </w:tcPr>
          <w:p w14:paraId="19D6E816" w14:textId="77777777" w:rsidR="005336DF" w:rsidRPr="00AA35E0" w:rsidRDefault="005336DF" w:rsidP="005336DF">
            <w:pPr>
              <w:jc w:val="right"/>
              <w:rPr>
                <w:color w:val="000000"/>
                <w:lang w:eastAsia="ko-KR"/>
              </w:rPr>
            </w:pPr>
            <w:r w:rsidRPr="00AA35E0">
              <w:rPr>
                <w:color w:val="000000"/>
              </w:rPr>
              <w:t>-0.051</w:t>
            </w:r>
          </w:p>
        </w:tc>
        <w:tc>
          <w:tcPr>
            <w:tcW w:w="1100" w:type="dxa"/>
            <w:tcBorders>
              <w:top w:val="nil"/>
              <w:left w:val="nil"/>
              <w:bottom w:val="nil"/>
              <w:right w:val="nil"/>
            </w:tcBorders>
            <w:shd w:val="clear" w:color="auto" w:fill="auto"/>
            <w:noWrap/>
            <w:vAlign w:val="bottom"/>
            <w:hideMark/>
          </w:tcPr>
          <w:p w14:paraId="64926510" w14:textId="77777777" w:rsidR="005336DF" w:rsidRPr="00AA35E0" w:rsidRDefault="005336DF" w:rsidP="005336DF">
            <w:pPr>
              <w:jc w:val="right"/>
              <w:rPr>
                <w:color w:val="000000"/>
                <w:lang w:eastAsia="ko-KR"/>
              </w:rPr>
            </w:pPr>
            <w:r w:rsidRPr="00AA35E0">
              <w:rPr>
                <w:color w:val="000000"/>
              </w:rPr>
              <w:t>-0.397</w:t>
            </w:r>
          </w:p>
        </w:tc>
      </w:tr>
      <w:tr w:rsidR="005336DF" w:rsidRPr="00AA35E0" w14:paraId="5C47110E" w14:textId="77777777" w:rsidTr="005336DF">
        <w:trPr>
          <w:trHeight w:val="288"/>
        </w:trPr>
        <w:tc>
          <w:tcPr>
            <w:tcW w:w="960" w:type="dxa"/>
            <w:tcBorders>
              <w:top w:val="nil"/>
              <w:left w:val="nil"/>
              <w:bottom w:val="nil"/>
              <w:right w:val="nil"/>
            </w:tcBorders>
            <w:shd w:val="clear" w:color="auto" w:fill="auto"/>
            <w:noWrap/>
            <w:vAlign w:val="center"/>
            <w:hideMark/>
          </w:tcPr>
          <w:p w14:paraId="1C9FA4E8" w14:textId="77777777" w:rsidR="005336DF" w:rsidRPr="00AA35E0" w:rsidRDefault="005336DF" w:rsidP="005336DF">
            <w:pPr>
              <w:jc w:val="center"/>
              <w:rPr>
                <w:b/>
                <w:bCs/>
                <w:color w:val="000000"/>
                <w:lang w:eastAsia="ko-KR"/>
              </w:rPr>
            </w:pPr>
            <w:r w:rsidRPr="00AA35E0">
              <w:rPr>
                <w:b/>
                <w:bCs/>
                <w:color w:val="000000"/>
                <w:lang w:eastAsia="ko-KR"/>
              </w:rPr>
              <w:t>HML</w:t>
            </w:r>
          </w:p>
        </w:tc>
        <w:tc>
          <w:tcPr>
            <w:tcW w:w="1100" w:type="dxa"/>
            <w:tcBorders>
              <w:top w:val="nil"/>
              <w:left w:val="single" w:sz="8" w:space="0" w:color="auto"/>
              <w:bottom w:val="nil"/>
              <w:right w:val="nil"/>
            </w:tcBorders>
            <w:shd w:val="clear" w:color="auto" w:fill="auto"/>
            <w:noWrap/>
            <w:vAlign w:val="bottom"/>
            <w:hideMark/>
          </w:tcPr>
          <w:p w14:paraId="3386210A" w14:textId="77777777" w:rsidR="005336DF" w:rsidRPr="00AA35E0" w:rsidRDefault="005336DF" w:rsidP="005336DF">
            <w:pPr>
              <w:jc w:val="right"/>
              <w:rPr>
                <w:color w:val="000000"/>
                <w:lang w:eastAsia="ko-KR"/>
              </w:rPr>
            </w:pPr>
            <w:r w:rsidRPr="00AA35E0">
              <w:rPr>
                <w:color w:val="000000"/>
              </w:rPr>
              <w:t>0.070</w:t>
            </w:r>
          </w:p>
        </w:tc>
        <w:tc>
          <w:tcPr>
            <w:tcW w:w="1100" w:type="dxa"/>
            <w:tcBorders>
              <w:top w:val="nil"/>
              <w:left w:val="nil"/>
              <w:bottom w:val="nil"/>
              <w:right w:val="single" w:sz="8" w:space="0" w:color="auto"/>
            </w:tcBorders>
            <w:shd w:val="clear" w:color="auto" w:fill="auto"/>
            <w:noWrap/>
            <w:vAlign w:val="bottom"/>
            <w:hideMark/>
          </w:tcPr>
          <w:p w14:paraId="3BAE3E6C" w14:textId="77777777" w:rsidR="005336DF" w:rsidRPr="00AA35E0" w:rsidRDefault="005336DF" w:rsidP="005336DF">
            <w:pPr>
              <w:jc w:val="right"/>
              <w:rPr>
                <w:color w:val="000000"/>
                <w:lang w:eastAsia="ko-KR"/>
              </w:rPr>
            </w:pPr>
            <w:r w:rsidRPr="00AA35E0">
              <w:rPr>
                <w:color w:val="000000"/>
              </w:rPr>
              <w:t>0.473</w:t>
            </w:r>
          </w:p>
        </w:tc>
        <w:tc>
          <w:tcPr>
            <w:tcW w:w="1100" w:type="dxa"/>
            <w:tcBorders>
              <w:top w:val="nil"/>
              <w:left w:val="nil"/>
              <w:bottom w:val="nil"/>
              <w:right w:val="nil"/>
            </w:tcBorders>
            <w:shd w:val="clear" w:color="auto" w:fill="auto"/>
            <w:noWrap/>
            <w:vAlign w:val="bottom"/>
            <w:hideMark/>
          </w:tcPr>
          <w:p w14:paraId="269D7B25" w14:textId="77777777" w:rsidR="005336DF" w:rsidRPr="00AA35E0" w:rsidRDefault="005336DF" w:rsidP="005336DF">
            <w:pPr>
              <w:jc w:val="right"/>
              <w:rPr>
                <w:color w:val="000000"/>
                <w:lang w:eastAsia="ko-KR"/>
              </w:rPr>
            </w:pPr>
            <w:r w:rsidRPr="00AA35E0">
              <w:rPr>
                <w:color w:val="000000"/>
              </w:rPr>
              <w:t>0.100</w:t>
            </w:r>
          </w:p>
        </w:tc>
        <w:tc>
          <w:tcPr>
            <w:tcW w:w="1100" w:type="dxa"/>
            <w:tcBorders>
              <w:top w:val="nil"/>
              <w:left w:val="nil"/>
              <w:bottom w:val="nil"/>
              <w:right w:val="nil"/>
            </w:tcBorders>
            <w:shd w:val="clear" w:color="auto" w:fill="auto"/>
            <w:noWrap/>
            <w:vAlign w:val="bottom"/>
            <w:hideMark/>
          </w:tcPr>
          <w:p w14:paraId="0289FFFB" w14:textId="77777777" w:rsidR="005336DF" w:rsidRPr="00AA35E0" w:rsidRDefault="005336DF" w:rsidP="005336DF">
            <w:pPr>
              <w:jc w:val="right"/>
              <w:rPr>
                <w:color w:val="000000"/>
                <w:lang w:eastAsia="ko-KR"/>
              </w:rPr>
            </w:pPr>
            <w:r w:rsidRPr="00AA35E0">
              <w:rPr>
                <w:color w:val="000000"/>
              </w:rPr>
              <w:t>0.705</w:t>
            </w:r>
          </w:p>
        </w:tc>
        <w:tc>
          <w:tcPr>
            <w:tcW w:w="1100" w:type="dxa"/>
            <w:tcBorders>
              <w:top w:val="nil"/>
              <w:left w:val="single" w:sz="8" w:space="0" w:color="auto"/>
              <w:bottom w:val="nil"/>
              <w:right w:val="nil"/>
            </w:tcBorders>
            <w:shd w:val="clear" w:color="auto" w:fill="auto"/>
            <w:noWrap/>
            <w:vAlign w:val="bottom"/>
            <w:hideMark/>
          </w:tcPr>
          <w:p w14:paraId="032DE2E1" w14:textId="77777777" w:rsidR="005336DF" w:rsidRPr="00AA35E0" w:rsidRDefault="005336DF" w:rsidP="005336DF">
            <w:pPr>
              <w:jc w:val="right"/>
              <w:rPr>
                <w:color w:val="000000"/>
                <w:lang w:eastAsia="ko-KR"/>
              </w:rPr>
            </w:pPr>
            <w:r w:rsidRPr="00AA35E0">
              <w:rPr>
                <w:color w:val="000000"/>
              </w:rPr>
              <w:t>0.043</w:t>
            </w:r>
          </w:p>
        </w:tc>
        <w:tc>
          <w:tcPr>
            <w:tcW w:w="1100" w:type="dxa"/>
            <w:tcBorders>
              <w:top w:val="nil"/>
              <w:left w:val="nil"/>
              <w:bottom w:val="nil"/>
              <w:right w:val="nil"/>
            </w:tcBorders>
            <w:shd w:val="clear" w:color="auto" w:fill="auto"/>
            <w:noWrap/>
            <w:vAlign w:val="bottom"/>
            <w:hideMark/>
          </w:tcPr>
          <w:p w14:paraId="1265890A" w14:textId="77777777" w:rsidR="005336DF" w:rsidRPr="00AA35E0" w:rsidRDefault="005336DF" w:rsidP="005336DF">
            <w:pPr>
              <w:jc w:val="right"/>
              <w:rPr>
                <w:color w:val="000000"/>
                <w:lang w:eastAsia="ko-KR"/>
              </w:rPr>
            </w:pPr>
            <w:r w:rsidRPr="00AA35E0">
              <w:rPr>
                <w:color w:val="000000"/>
              </w:rPr>
              <w:t>0.309</w:t>
            </w:r>
          </w:p>
        </w:tc>
      </w:tr>
      <w:tr w:rsidR="005336DF" w:rsidRPr="00AA35E0" w14:paraId="7AFD551D" w14:textId="77777777" w:rsidTr="005336DF">
        <w:trPr>
          <w:trHeight w:val="288"/>
        </w:trPr>
        <w:tc>
          <w:tcPr>
            <w:tcW w:w="960" w:type="dxa"/>
            <w:tcBorders>
              <w:top w:val="nil"/>
              <w:left w:val="nil"/>
              <w:bottom w:val="nil"/>
              <w:right w:val="nil"/>
            </w:tcBorders>
            <w:shd w:val="clear" w:color="auto" w:fill="auto"/>
            <w:noWrap/>
            <w:vAlign w:val="center"/>
            <w:hideMark/>
          </w:tcPr>
          <w:p w14:paraId="2D6622CB" w14:textId="77777777" w:rsidR="005336DF" w:rsidRPr="00AA35E0" w:rsidRDefault="005336DF" w:rsidP="005336DF">
            <w:pPr>
              <w:jc w:val="center"/>
              <w:rPr>
                <w:b/>
                <w:bCs/>
                <w:color w:val="000000"/>
                <w:lang w:eastAsia="ko-KR"/>
              </w:rPr>
            </w:pPr>
            <w:r w:rsidRPr="00AA35E0">
              <w:rPr>
                <w:b/>
                <w:bCs/>
                <w:color w:val="000000"/>
                <w:lang w:eastAsia="ko-KR"/>
              </w:rPr>
              <w:t>UMD</w:t>
            </w:r>
          </w:p>
        </w:tc>
        <w:tc>
          <w:tcPr>
            <w:tcW w:w="1100" w:type="dxa"/>
            <w:tcBorders>
              <w:top w:val="nil"/>
              <w:left w:val="single" w:sz="8" w:space="0" w:color="auto"/>
              <w:bottom w:val="nil"/>
              <w:right w:val="nil"/>
            </w:tcBorders>
            <w:shd w:val="clear" w:color="auto" w:fill="auto"/>
            <w:noWrap/>
            <w:vAlign w:val="bottom"/>
            <w:hideMark/>
          </w:tcPr>
          <w:p w14:paraId="42518BCE" w14:textId="77777777" w:rsidR="005336DF" w:rsidRPr="00AA35E0" w:rsidRDefault="005336DF" w:rsidP="005336DF">
            <w:pPr>
              <w:jc w:val="right"/>
              <w:rPr>
                <w:color w:val="000000"/>
                <w:lang w:eastAsia="ko-KR"/>
              </w:rPr>
            </w:pPr>
            <w:r w:rsidRPr="00AA35E0">
              <w:rPr>
                <w:color w:val="000000"/>
              </w:rPr>
              <w:t>0.192</w:t>
            </w:r>
          </w:p>
        </w:tc>
        <w:tc>
          <w:tcPr>
            <w:tcW w:w="1100" w:type="dxa"/>
            <w:tcBorders>
              <w:top w:val="nil"/>
              <w:left w:val="nil"/>
              <w:bottom w:val="nil"/>
              <w:right w:val="single" w:sz="8" w:space="0" w:color="auto"/>
            </w:tcBorders>
            <w:shd w:val="clear" w:color="auto" w:fill="auto"/>
            <w:noWrap/>
            <w:vAlign w:val="bottom"/>
            <w:hideMark/>
          </w:tcPr>
          <w:p w14:paraId="4D6D314E" w14:textId="77777777" w:rsidR="005336DF" w:rsidRPr="00AA35E0" w:rsidRDefault="005336DF" w:rsidP="005336DF">
            <w:pPr>
              <w:jc w:val="right"/>
              <w:rPr>
                <w:color w:val="000000"/>
                <w:lang w:eastAsia="ko-KR"/>
              </w:rPr>
            </w:pPr>
            <w:r w:rsidRPr="00AA35E0">
              <w:rPr>
                <w:color w:val="000000"/>
              </w:rPr>
              <w:t>2.033</w:t>
            </w:r>
          </w:p>
        </w:tc>
        <w:tc>
          <w:tcPr>
            <w:tcW w:w="1100" w:type="dxa"/>
            <w:tcBorders>
              <w:top w:val="nil"/>
              <w:left w:val="nil"/>
              <w:bottom w:val="nil"/>
              <w:right w:val="nil"/>
            </w:tcBorders>
            <w:shd w:val="clear" w:color="auto" w:fill="auto"/>
            <w:noWrap/>
            <w:vAlign w:val="bottom"/>
            <w:hideMark/>
          </w:tcPr>
          <w:p w14:paraId="71096482" w14:textId="77777777" w:rsidR="005336DF" w:rsidRPr="00AA35E0" w:rsidRDefault="005336DF" w:rsidP="005336DF">
            <w:pPr>
              <w:jc w:val="right"/>
              <w:rPr>
                <w:color w:val="000000"/>
                <w:lang w:eastAsia="ko-KR"/>
              </w:rPr>
            </w:pPr>
            <w:r w:rsidRPr="00AA35E0">
              <w:rPr>
                <w:color w:val="000000"/>
              </w:rPr>
              <w:t>0.468</w:t>
            </w:r>
          </w:p>
        </w:tc>
        <w:tc>
          <w:tcPr>
            <w:tcW w:w="1100" w:type="dxa"/>
            <w:tcBorders>
              <w:top w:val="nil"/>
              <w:left w:val="nil"/>
              <w:bottom w:val="nil"/>
              <w:right w:val="nil"/>
            </w:tcBorders>
            <w:shd w:val="clear" w:color="auto" w:fill="auto"/>
            <w:noWrap/>
            <w:vAlign w:val="bottom"/>
            <w:hideMark/>
          </w:tcPr>
          <w:p w14:paraId="1061D401" w14:textId="77777777" w:rsidR="005336DF" w:rsidRPr="00AA35E0" w:rsidRDefault="005336DF" w:rsidP="005336DF">
            <w:pPr>
              <w:jc w:val="right"/>
              <w:rPr>
                <w:color w:val="000000"/>
                <w:lang w:eastAsia="ko-KR"/>
              </w:rPr>
            </w:pPr>
            <w:r w:rsidRPr="00AA35E0">
              <w:rPr>
                <w:color w:val="000000"/>
              </w:rPr>
              <w:t>5.159</w:t>
            </w:r>
          </w:p>
        </w:tc>
        <w:tc>
          <w:tcPr>
            <w:tcW w:w="1100" w:type="dxa"/>
            <w:tcBorders>
              <w:top w:val="nil"/>
              <w:left w:val="single" w:sz="8" w:space="0" w:color="auto"/>
              <w:bottom w:val="nil"/>
              <w:right w:val="nil"/>
            </w:tcBorders>
            <w:shd w:val="clear" w:color="auto" w:fill="auto"/>
            <w:noWrap/>
            <w:vAlign w:val="bottom"/>
            <w:hideMark/>
          </w:tcPr>
          <w:p w14:paraId="140ED8BF" w14:textId="77777777" w:rsidR="005336DF" w:rsidRPr="00AA35E0" w:rsidRDefault="005336DF" w:rsidP="005336DF">
            <w:pPr>
              <w:jc w:val="right"/>
              <w:rPr>
                <w:color w:val="000000"/>
                <w:lang w:eastAsia="ko-KR"/>
              </w:rPr>
            </w:pPr>
            <w:r w:rsidRPr="00AA35E0">
              <w:rPr>
                <w:color w:val="000000"/>
              </w:rPr>
              <w:t>0.371</w:t>
            </w:r>
          </w:p>
        </w:tc>
        <w:tc>
          <w:tcPr>
            <w:tcW w:w="1100" w:type="dxa"/>
            <w:tcBorders>
              <w:top w:val="nil"/>
              <w:left w:val="nil"/>
              <w:bottom w:val="nil"/>
              <w:right w:val="nil"/>
            </w:tcBorders>
            <w:shd w:val="clear" w:color="auto" w:fill="auto"/>
            <w:noWrap/>
            <w:vAlign w:val="bottom"/>
            <w:hideMark/>
          </w:tcPr>
          <w:p w14:paraId="189DDB93" w14:textId="77777777" w:rsidR="005336DF" w:rsidRPr="00AA35E0" w:rsidRDefault="005336DF" w:rsidP="005336DF">
            <w:pPr>
              <w:jc w:val="right"/>
              <w:rPr>
                <w:color w:val="000000"/>
                <w:lang w:eastAsia="ko-KR"/>
              </w:rPr>
            </w:pPr>
            <w:r w:rsidRPr="00AA35E0">
              <w:rPr>
                <w:color w:val="000000"/>
              </w:rPr>
              <w:t>4.146</w:t>
            </w:r>
          </w:p>
        </w:tc>
      </w:tr>
    </w:tbl>
    <w:p w14:paraId="77F7D1D2" w14:textId="77777777" w:rsidR="00884444" w:rsidRPr="00AA35E0" w:rsidRDefault="00884444" w:rsidP="00CA7BF2"/>
    <w:p w14:paraId="729D68D3"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1BCB51A7"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620835D4"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7005EEC3"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793969AF"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2A985D48"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44D454EC" w14:textId="77777777" w:rsidR="00884444" w:rsidRPr="00AA35E0" w:rsidRDefault="00884444" w:rsidP="00884444">
      <w:pPr>
        <w:pStyle w:val="ListParagraph"/>
        <w:ind w:left="1440" w:firstLineChars="0" w:firstLine="0"/>
        <w:rPr>
          <w:rFonts w:ascii="Times New Roman" w:hAnsi="Times New Roman" w:cs="Times New Roman"/>
          <w:sz w:val="24"/>
          <w:szCs w:val="24"/>
        </w:rPr>
      </w:pPr>
    </w:p>
    <w:p w14:paraId="3904BA2D" w14:textId="28B410F2" w:rsidR="00884444" w:rsidRPr="00AA35E0" w:rsidRDefault="00884444" w:rsidP="00884444">
      <w:pPr>
        <w:pStyle w:val="ListParagraph"/>
        <w:ind w:left="1440" w:firstLineChars="0" w:firstLine="0"/>
        <w:rPr>
          <w:rFonts w:ascii="Times New Roman" w:hAnsi="Times New Roman" w:cs="Times New Roman"/>
          <w:sz w:val="24"/>
          <w:szCs w:val="24"/>
        </w:rPr>
      </w:pPr>
      <w:r w:rsidRPr="00AA35E0">
        <w:rPr>
          <w:rFonts w:ascii="Times New Roman" w:hAnsi="Times New Roman" w:cs="Times New Roman"/>
          <w:sz w:val="24"/>
          <w:szCs w:val="24"/>
        </w:rPr>
        <w:t xml:space="preserve"> </w:t>
      </w:r>
    </w:p>
    <w:p w14:paraId="12E2E830" w14:textId="77777777" w:rsidR="004470FA" w:rsidRPr="00AA35E0" w:rsidRDefault="004470FA" w:rsidP="00884444">
      <w:pPr>
        <w:pStyle w:val="ListParagraph"/>
        <w:ind w:left="1440" w:firstLineChars="0" w:firstLine="0"/>
        <w:rPr>
          <w:rFonts w:ascii="Times New Roman" w:hAnsi="Times New Roman" w:cs="Times New Roman"/>
          <w:sz w:val="24"/>
          <w:szCs w:val="24"/>
        </w:rPr>
      </w:pPr>
    </w:p>
    <w:p w14:paraId="6009D948" w14:textId="3965BB79" w:rsidR="00884444" w:rsidRPr="00AA35E0" w:rsidRDefault="00511C3C" w:rsidP="00884444">
      <w:pPr>
        <w:pStyle w:val="ListParagraph"/>
        <w:numPr>
          <w:ilvl w:val="0"/>
          <w:numId w:val="11"/>
        </w:numPr>
        <w:ind w:firstLineChars="0"/>
        <w:rPr>
          <w:rFonts w:ascii="Times New Roman" w:hAnsi="Times New Roman" w:cs="Times New Roman"/>
          <w:sz w:val="24"/>
          <w:szCs w:val="24"/>
        </w:rPr>
      </w:pPr>
      <w:r w:rsidRPr="00AA35E0">
        <w:rPr>
          <w:rFonts w:ascii="Times New Roman" w:hAnsi="Times New Roman" w:cs="Times New Roman"/>
          <w:sz w:val="24"/>
          <w:szCs w:val="24"/>
        </w:rPr>
        <w:t>The table below reports the correlations between industry momentum strategies and commodity momentum strategies. In all 3 cases, we observe a weak</w:t>
      </w:r>
      <w:r w:rsidR="00564AF4" w:rsidRPr="00AA35E0">
        <w:rPr>
          <w:rFonts w:ascii="Times New Roman" w:hAnsi="Times New Roman" w:cs="Times New Roman"/>
          <w:sz w:val="24"/>
          <w:szCs w:val="24"/>
        </w:rPr>
        <w:t xml:space="preserve"> and positive</w:t>
      </w:r>
      <w:r w:rsidRPr="00AA35E0">
        <w:rPr>
          <w:rFonts w:ascii="Times New Roman" w:hAnsi="Times New Roman" w:cs="Times New Roman"/>
          <w:sz w:val="24"/>
          <w:szCs w:val="24"/>
        </w:rPr>
        <w:t xml:space="preserve"> correlation.</w:t>
      </w:r>
    </w:p>
    <w:p w14:paraId="5ED08F0B" w14:textId="77777777" w:rsidR="00511C3C" w:rsidRPr="00AA35E0" w:rsidRDefault="00511C3C" w:rsidP="00511C3C">
      <w:pPr>
        <w:pStyle w:val="ListParagraph"/>
        <w:ind w:left="1440" w:firstLineChars="0" w:firstLine="0"/>
        <w:rPr>
          <w:rFonts w:ascii="Times New Roman" w:hAnsi="Times New Roman" w:cs="Times New Roman"/>
          <w:sz w:val="24"/>
          <w:szCs w:val="24"/>
        </w:rPr>
      </w:pPr>
    </w:p>
    <w:p w14:paraId="2B811A83" w14:textId="77777777" w:rsidR="004470FA" w:rsidRPr="00AA35E0" w:rsidRDefault="004470FA" w:rsidP="00511C3C">
      <w:pPr>
        <w:pStyle w:val="ListParagraph"/>
        <w:ind w:left="1440" w:firstLineChars="0" w:firstLine="0"/>
        <w:rPr>
          <w:rFonts w:ascii="Times New Roman" w:hAnsi="Times New Roman" w:cs="Times New Roman"/>
          <w:sz w:val="24"/>
          <w:szCs w:val="24"/>
        </w:rPr>
      </w:pPr>
    </w:p>
    <w:tbl>
      <w:tblPr>
        <w:tblStyle w:val="TableGrid"/>
        <w:tblpPr w:leftFromText="180" w:rightFromText="180" w:vertAnchor="text" w:horzAnchor="margin" w:tblpXSpec="right" w:tblpY="-62"/>
        <w:tblW w:w="0" w:type="auto"/>
        <w:tblLook w:val="04A0" w:firstRow="1" w:lastRow="0" w:firstColumn="1" w:lastColumn="0" w:noHBand="0" w:noVBand="1"/>
      </w:tblPr>
      <w:tblGrid>
        <w:gridCol w:w="3244"/>
        <w:gridCol w:w="3244"/>
        <w:gridCol w:w="3248"/>
      </w:tblGrid>
      <w:tr w:rsidR="00511C3C" w:rsidRPr="00AA35E0" w14:paraId="0D37C6E1" w14:textId="77777777" w:rsidTr="00511C3C">
        <w:tc>
          <w:tcPr>
            <w:tcW w:w="3244" w:type="dxa"/>
            <w:vAlign w:val="center"/>
          </w:tcPr>
          <w:p w14:paraId="1AFE2547" w14:textId="77777777" w:rsidR="00511C3C" w:rsidRPr="00AA35E0" w:rsidRDefault="00511C3C" w:rsidP="00511C3C">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1,1 IND MOM</w:t>
            </w:r>
          </w:p>
          <w:p w14:paraId="22E8C8A5" w14:textId="77777777" w:rsidR="00511C3C" w:rsidRPr="00AA35E0" w:rsidRDefault="00511C3C" w:rsidP="00511C3C">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&amp; 1,1 COM MOM</w:t>
            </w:r>
          </w:p>
        </w:tc>
        <w:tc>
          <w:tcPr>
            <w:tcW w:w="3244" w:type="dxa"/>
            <w:vAlign w:val="center"/>
          </w:tcPr>
          <w:p w14:paraId="57663017" w14:textId="77777777" w:rsidR="00511C3C" w:rsidRPr="00AA35E0" w:rsidRDefault="00511C3C" w:rsidP="00511C3C">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12,1 IND MOM</w:t>
            </w:r>
          </w:p>
          <w:p w14:paraId="064FCD82" w14:textId="77777777" w:rsidR="00511C3C" w:rsidRPr="00AA35E0" w:rsidRDefault="00511C3C" w:rsidP="00511C3C">
            <w:pPr>
              <w:pStyle w:val="ListParagraph"/>
              <w:ind w:firstLineChars="0" w:firstLine="0"/>
              <w:jc w:val="center"/>
              <w:rPr>
                <w:rFonts w:ascii="Times New Roman" w:hAnsi="Times New Roman" w:cs="Times New Roman"/>
                <w:b/>
                <w:sz w:val="24"/>
                <w:szCs w:val="24"/>
              </w:rPr>
            </w:pPr>
            <w:r w:rsidRPr="00AA35E0">
              <w:rPr>
                <w:rFonts w:ascii="Times New Roman" w:hAnsi="Times New Roman" w:cs="Times New Roman"/>
                <w:sz w:val="24"/>
                <w:szCs w:val="24"/>
              </w:rPr>
              <w:t>&amp; 12,1 COM MOM</w:t>
            </w:r>
          </w:p>
        </w:tc>
        <w:tc>
          <w:tcPr>
            <w:tcW w:w="3248" w:type="dxa"/>
            <w:vAlign w:val="center"/>
          </w:tcPr>
          <w:p w14:paraId="3E8B9DF6" w14:textId="77777777" w:rsidR="00511C3C" w:rsidRPr="00AA35E0" w:rsidRDefault="00511C3C" w:rsidP="00511C3C">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12,1 IND MOM &amp; 12,1 COM MOM (skip a month)</w:t>
            </w:r>
          </w:p>
        </w:tc>
      </w:tr>
      <w:tr w:rsidR="00511C3C" w:rsidRPr="00AA35E0" w14:paraId="40386CCF" w14:textId="77777777" w:rsidTr="00511C3C">
        <w:tc>
          <w:tcPr>
            <w:tcW w:w="3244" w:type="dxa"/>
            <w:vAlign w:val="center"/>
          </w:tcPr>
          <w:p w14:paraId="2FD5576B" w14:textId="77777777" w:rsidR="00511C3C" w:rsidRPr="00AA35E0" w:rsidRDefault="00511C3C" w:rsidP="00511C3C">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0.1341</w:t>
            </w:r>
          </w:p>
        </w:tc>
        <w:tc>
          <w:tcPr>
            <w:tcW w:w="3244" w:type="dxa"/>
            <w:vAlign w:val="center"/>
          </w:tcPr>
          <w:p w14:paraId="268767C2" w14:textId="77777777" w:rsidR="00511C3C" w:rsidRPr="00AA35E0" w:rsidRDefault="00511C3C" w:rsidP="00511C3C">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0.1836</w:t>
            </w:r>
          </w:p>
        </w:tc>
        <w:tc>
          <w:tcPr>
            <w:tcW w:w="3248" w:type="dxa"/>
            <w:vAlign w:val="center"/>
          </w:tcPr>
          <w:p w14:paraId="33A446AF" w14:textId="77777777" w:rsidR="00511C3C" w:rsidRPr="00AA35E0" w:rsidRDefault="00511C3C" w:rsidP="00511C3C">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0.1434</w:t>
            </w:r>
          </w:p>
        </w:tc>
      </w:tr>
    </w:tbl>
    <w:p w14:paraId="0D35AEE9" w14:textId="60141AD7" w:rsidR="00884444" w:rsidRPr="00AA35E0" w:rsidRDefault="004470FA" w:rsidP="00884444">
      <w:pPr>
        <w:pStyle w:val="ListParagraph"/>
        <w:numPr>
          <w:ilvl w:val="0"/>
          <w:numId w:val="11"/>
        </w:numPr>
        <w:ind w:firstLineChars="0"/>
        <w:rPr>
          <w:rFonts w:ascii="Times New Roman" w:hAnsi="Times New Roman" w:cs="Times New Roman"/>
          <w:sz w:val="24"/>
          <w:szCs w:val="24"/>
        </w:rPr>
      </w:pPr>
      <w:r w:rsidRPr="00AA35E0">
        <w:rPr>
          <w:rFonts w:ascii="Times New Roman" w:hAnsi="Times New Roman" w:cs="Times New Roman"/>
          <w:sz w:val="24"/>
          <w:szCs w:val="24"/>
        </w:rPr>
        <w:t xml:space="preserve">The table below summarizes the regression result with 3-factor model plus the commodity momentum to explain the industry momentum. </w:t>
      </w:r>
      <w:r w:rsidR="003878B3">
        <w:rPr>
          <w:rFonts w:ascii="Times New Roman" w:hAnsi="Times New Roman" w:cs="Times New Roman"/>
          <w:sz w:val="24"/>
          <w:szCs w:val="24"/>
        </w:rPr>
        <w:t>The estimate of the commodity momentum portfolio is statistically significant, so the commodity momentum does explain the industry momentum. However, w</w:t>
      </w:r>
      <w:r w:rsidRPr="00AA35E0">
        <w:rPr>
          <w:rFonts w:ascii="Times New Roman" w:hAnsi="Times New Roman" w:cs="Times New Roman"/>
          <w:sz w:val="24"/>
          <w:szCs w:val="24"/>
        </w:rPr>
        <w:t xml:space="preserve">ith a statistically and economically significant </w:t>
      </w:r>
      <m:oMath>
        <m:r>
          <m:rPr>
            <m:sty m:val="p"/>
          </m:rPr>
          <w:rPr>
            <w:rFonts w:ascii="Cambria Math" w:hAnsi="Cambria Math" w:cs="Times New Roman"/>
            <w:sz w:val="24"/>
            <w:szCs w:val="24"/>
          </w:rPr>
          <m:t>α</m:t>
        </m:r>
      </m:oMath>
      <w:r w:rsidRPr="00AA35E0">
        <w:rPr>
          <w:rFonts w:ascii="Times New Roman" w:hAnsi="Times New Roman" w:cs="Times New Roman"/>
          <w:sz w:val="24"/>
          <w:szCs w:val="24"/>
        </w:rPr>
        <w:t>, it is difficult to say that the model</w:t>
      </w:r>
      <w:r w:rsidR="003878B3">
        <w:rPr>
          <w:rFonts w:ascii="Times New Roman" w:hAnsi="Times New Roman" w:cs="Times New Roman"/>
          <w:sz w:val="24"/>
          <w:szCs w:val="24"/>
        </w:rPr>
        <w:t xml:space="preserve"> </w:t>
      </w:r>
      <w:r w:rsidR="00374647">
        <w:rPr>
          <w:rFonts w:ascii="Times New Roman" w:hAnsi="Times New Roman" w:cs="Times New Roman"/>
          <w:sz w:val="24"/>
          <w:szCs w:val="24"/>
        </w:rPr>
        <w:t>sufficiently</w:t>
      </w:r>
      <w:r w:rsidRPr="00AA35E0">
        <w:rPr>
          <w:rFonts w:ascii="Times New Roman" w:hAnsi="Times New Roman" w:cs="Times New Roman"/>
          <w:sz w:val="24"/>
          <w:szCs w:val="24"/>
        </w:rPr>
        <w:t xml:space="preserve"> captures the excess return achieved using the momentum strategy in the industry portfolios.</w:t>
      </w:r>
    </w:p>
    <w:p w14:paraId="182846DA" w14:textId="77777777" w:rsidR="004470FA" w:rsidRPr="00AA35E0" w:rsidRDefault="004470FA" w:rsidP="004470FA">
      <w:pPr>
        <w:pStyle w:val="ListParagraph"/>
        <w:ind w:left="1440" w:firstLineChars="0" w:firstLine="0"/>
        <w:rPr>
          <w:rFonts w:ascii="Times New Roman" w:hAnsi="Times New Roman" w:cs="Times New Roman"/>
          <w:sz w:val="24"/>
          <w:szCs w:val="24"/>
        </w:rPr>
      </w:pPr>
    </w:p>
    <w:p w14:paraId="1F14B176" w14:textId="77777777" w:rsidR="005336DF" w:rsidRPr="00AA35E0" w:rsidRDefault="005336DF" w:rsidP="005336DF">
      <w:pPr>
        <w:pStyle w:val="ListParagraph"/>
        <w:ind w:left="1440" w:firstLineChars="0" w:firstLine="0"/>
        <w:rPr>
          <w:rFonts w:ascii="Times New Roman" w:hAnsi="Times New Roman" w:cs="Times New Roman"/>
          <w:sz w:val="24"/>
          <w:szCs w:val="24"/>
        </w:rPr>
      </w:pPr>
    </w:p>
    <w:tbl>
      <w:tblPr>
        <w:tblW w:w="5696" w:type="dxa"/>
        <w:tblInd w:w="2393" w:type="dxa"/>
        <w:tblLook w:val="04A0" w:firstRow="1" w:lastRow="0" w:firstColumn="1" w:lastColumn="0" w:noHBand="0" w:noVBand="1"/>
      </w:tblPr>
      <w:tblGrid>
        <w:gridCol w:w="1563"/>
        <w:gridCol w:w="1100"/>
        <w:gridCol w:w="1100"/>
        <w:gridCol w:w="1100"/>
        <w:gridCol w:w="1100"/>
      </w:tblGrid>
      <w:tr w:rsidR="005336DF" w:rsidRPr="00AA35E0" w14:paraId="021D7523" w14:textId="77777777" w:rsidTr="005336DF">
        <w:trPr>
          <w:trHeight w:val="300"/>
        </w:trPr>
        <w:tc>
          <w:tcPr>
            <w:tcW w:w="1296" w:type="dxa"/>
            <w:tcBorders>
              <w:top w:val="nil"/>
              <w:left w:val="nil"/>
              <w:bottom w:val="single" w:sz="8" w:space="0" w:color="auto"/>
              <w:right w:val="nil"/>
            </w:tcBorders>
            <w:shd w:val="clear" w:color="auto" w:fill="auto"/>
            <w:noWrap/>
            <w:vAlign w:val="center"/>
            <w:hideMark/>
          </w:tcPr>
          <w:p w14:paraId="4881AFC4" w14:textId="1F75B6E9" w:rsidR="005336DF" w:rsidRPr="00AA35E0" w:rsidRDefault="005336DF" w:rsidP="005336DF">
            <w:pPr>
              <w:jc w:val="center"/>
              <w:rPr>
                <w:b/>
                <w:color w:val="000000"/>
                <w:lang w:eastAsia="ko-KR"/>
              </w:rPr>
            </w:pPr>
          </w:p>
        </w:tc>
        <w:tc>
          <w:tcPr>
            <w:tcW w:w="1100" w:type="dxa"/>
            <w:tcBorders>
              <w:top w:val="nil"/>
              <w:left w:val="single" w:sz="8" w:space="0" w:color="auto"/>
              <w:bottom w:val="single" w:sz="8" w:space="0" w:color="auto"/>
              <w:right w:val="nil"/>
            </w:tcBorders>
            <w:shd w:val="clear" w:color="auto" w:fill="auto"/>
            <w:noWrap/>
            <w:vAlign w:val="center"/>
            <w:hideMark/>
          </w:tcPr>
          <w:p w14:paraId="3240BB56" w14:textId="77777777" w:rsidR="005336DF" w:rsidRPr="00AA35E0" w:rsidRDefault="005336DF" w:rsidP="005336DF">
            <w:pPr>
              <w:jc w:val="center"/>
              <w:rPr>
                <w:b/>
                <w:color w:val="000000"/>
                <w:lang w:eastAsia="ko-KR"/>
              </w:rPr>
            </w:pPr>
            <w:r w:rsidRPr="00AA35E0">
              <w:rPr>
                <w:b/>
                <w:color w:val="000000"/>
                <w:lang w:eastAsia="ko-KR"/>
              </w:rPr>
              <w:t>estimate</w:t>
            </w:r>
          </w:p>
        </w:tc>
        <w:tc>
          <w:tcPr>
            <w:tcW w:w="1100" w:type="dxa"/>
            <w:tcBorders>
              <w:top w:val="nil"/>
              <w:left w:val="nil"/>
              <w:bottom w:val="single" w:sz="8" w:space="0" w:color="auto"/>
              <w:right w:val="nil"/>
            </w:tcBorders>
            <w:shd w:val="clear" w:color="auto" w:fill="auto"/>
            <w:noWrap/>
            <w:vAlign w:val="center"/>
            <w:hideMark/>
          </w:tcPr>
          <w:p w14:paraId="785F9081" w14:textId="77777777" w:rsidR="005336DF" w:rsidRPr="00AA35E0" w:rsidRDefault="005336DF" w:rsidP="005336DF">
            <w:pPr>
              <w:jc w:val="center"/>
              <w:rPr>
                <w:b/>
                <w:color w:val="000000"/>
                <w:lang w:eastAsia="ko-KR"/>
              </w:rPr>
            </w:pPr>
            <w:r w:rsidRPr="00AA35E0">
              <w:rPr>
                <w:b/>
                <w:color w:val="000000"/>
                <w:lang w:eastAsia="ko-KR"/>
              </w:rPr>
              <w:t>S.E.</w:t>
            </w:r>
          </w:p>
        </w:tc>
        <w:tc>
          <w:tcPr>
            <w:tcW w:w="1100" w:type="dxa"/>
            <w:tcBorders>
              <w:top w:val="nil"/>
              <w:left w:val="nil"/>
              <w:bottom w:val="single" w:sz="8" w:space="0" w:color="auto"/>
              <w:right w:val="nil"/>
            </w:tcBorders>
            <w:shd w:val="clear" w:color="auto" w:fill="auto"/>
            <w:noWrap/>
            <w:vAlign w:val="center"/>
            <w:hideMark/>
          </w:tcPr>
          <w:p w14:paraId="0537A2E6" w14:textId="77777777" w:rsidR="005336DF" w:rsidRPr="00AA35E0" w:rsidRDefault="005336DF" w:rsidP="005336DF">
            <w:pPr>
              <w:jc w:val="center"/>
              <w:rPr>
                <w:b/>
                <w:color w:val="000000"/>
                <w:lang w:eastAsia="ko-KR"/>
              </w:rPr>
            </w:pPr>
            <w:r w:rsidRPr="00AA35E0">
              <w:rPr>
                <w:b/>
                <w:color w:val="000000"/>
                <w:lang w:eastAsia="ko-KR"/>
              </w:rPr>
              <w:t>t-stat</w:t>
            </w:r>
          </w:p>
        </w:tc>
        <w:tc>
          <w:tcPr>
            <w:tcW w:w="1100" w:type="dxa"/>
            <w:tcBorders>
              <w:top w:val="nil"/>
              <w:left w:val="nil"/>
              <w:bottom w:val="single" w:sz="8" w:space="0" w:color="auto"/>
              <w:right w:val="nil"/>
            </w:tcBorders>
            <w:shd w:val="clear" w:color="auto" w:fill="auto"/>
            <w:noWrap/>
            <w:vAlign w:val="center"/>
            <w:hideMark/>
          </w:tcPr>
          <w:p w14:paraId="4270F2C0" w14:textId="77777777" w:rsidR="005336DF" w:rsidRPr="00AA35E0" w:rsidRDefault="005336DF" w:rsidP="005336DF">
            <w:pPr>
              <w:jc w:val="center"/>
              <w:rPr>
                <w:b/>
                <w:color w:val="000000"/>
                <w:lang w:eastAsia="ko-KR"/>
              </w:rPr>
            </w:pPr>
            <w:r w:rsidRPr="00AA35E0">
              <w:rPr>
                <w:b/>
                <w:color w:val="000000"/>
                <w:lang w:eastAsia="ko-KR"/>
              </w:rPr>
              <w:t>p-value</w:t>
            </w:r>
          </w:p>
        </w:tc>
      </w:tr>
      <w:tr w:rsidR="005336DF" w:rsidRPr="00AA35E0" w14:paraId="5D17648E" w14:textId="77777777" w:rsidTr="00F92798">
        <w:trPr>
          <w:trHeight w:val="288"/>
        </w:trPr>
        <w:tc>
          <w:tcPr>
            <w:tcW w:w="1296" w:type="dxa"/>
            <w:tcBorders>
              <w:top w:val="nil"/>
              <w:left w:val="nil"/>
              <w:bottom w:val="nil"/>
              <w:right w:val="nil"/>
            </w:tcBorders>
            <w:shd w:val="clear" w:color="auto" w:fill="auto"/>
            <w:noWrap/>
            <w:vAlign w:val="center"/>
            <w:hideMark/>
          </w:tcPr>
          <w:p w14:paraId="551A3089" w14:textId="0FD0CE07" w:rsidR="005336DF" w:rsidRPr="00AA35E0" w:rsidRDefault="0001363E" w:rsidP="005336DF">
            <w:pPr>
              <w:jc w:val="center"/>
              <w:rPr>
                <w:color w:val="000000"/>
                <w:lang w:eastAsia="ko-KR"/>
              </w:rPr>
            </w:pPr>
            <m:oMathPara>
              <m:oMath>
                <m:r>
                  <m:rPr>
                    <m:sty m:val="b"/>
                  </m:rPr>
                  <w:rPr>
                    <w:rFonts w:ascii="Cambria Math" w:hAnsi="Cambria Math"/>
                  </w:rPr>
                  <m:t>α</m:t>
                </m:r>
              </m:oMath>
            </m:oMathPara>
          </w:p>
        </w:tc>
        <w:tc>
          <w:tcPr>
            <w:tcW w:w="1100" w:type="dxa"/>
            <w:tcBorders>
              <w:top w:val="nil"/>
              <w:left w:val="single" w:sz="8" w:space="0" w:color="auto"/>
              <w:bottom w:val="nil"/>
              <w:right w:val="nil"/>
            </w:tcBorders>
            <w:shd w:val="clear" w:color="auto" w:fill="auto"/>
            <w:noWrap/>
            <w:vAlign w:val="bottom"/>
            <w:hideMark/>
          </w:tcPr>
          <w:p w14:paraId="68C4DCD8" w14:textId="77777777" w:rsidR="005336DF" w:rsidRPr="00AA35E0" w:rsidRDefault="005336DF" w:rsidP="005336DF">
            <w:pPr>
              <w:jc w:val="right"/>
              <w:rPr>
                <w:color w:val="000000"/>
                <w:lang w:eastAsia="ko-KR"/>
              </w:rPr>
            </w:pPr>
            <w:r w:rsidRPr="00AA35E0">
              <w:rPr>
                <w:color w:val="000000"/>
                <w:lang w:eastAsia="ko-KR"/>
              </w:rPr>
              <w:t>0.927</w:t>
            </w:r>
          </w:p>
        </w:tc>
        <w:tc>
          <w:tcPr>
            <w:tcW w:w="1100" w:type="dxa"/>
            <w:tcBorders>
              <w:top w:val="nil"/>
              <w:left w:val="nil"/>
              <w:bottom w:val="nil"/>
              <w:right w:val="nil"/>
            </w:tcBorders>
            <w:shd w:val="clear" w:color="auto" w:fill="auto"/>
            <w:noWrap/>
            <w:vAlign w:val="bottom"/>
            <w:hideMark/>
          </w:tcPr>
          <w:p w14:paraId="63594BF1" w14:textId="77777777" w:rsidR="005336DF" w:rsidRPr="00AA35E0" w:rsidRDefault="005336DF" w:rsidP="005336DF">
            <w:pPr>
              <w:jc w:val="right"/>
              <w:rPr>
                <w:color w:val="000000"/>
                <w:lang w:eastAsia="ko-KR"/>
              </w:rPr>
            </w:pPr>
            <w:r w:rsidRPr="00AA35E0">
              <w:rPr>
                <w:color w:val="000000"/>
                <w:lang w:eastAsia="ko-KR"/>
              </w:rPr>
              <w:t>0.272</w:t>
            </w:r>
          </w:p>
        </w:tc>
        <w:tc>
          <w:tcPr>
            <w:tcW w:w="1100" w:type="dxa"/>
            <w:tcBorders>
              <w:top w:val="nil"/>
              <w:left w:val="nil"/>
              <w:bottom w:val="nil"/>
              <w:right w:val="nil"/>
            </w:tcBorders>
            <w:shd w:val="clear" w:color="auto" w:fill="auto"/>
            <w:noWrap/>
            <w:vAlign w:val="bottom"/>
            <w:hideMark/>
          </w:tcPr>
          <w:p w14:paraId="73C357F4" w14:textId="77777777" w:rsidR="005336DF" w:rsidRPr="00AA35E0" w:rsidRDefault="005336DF" w:rsidP="005336DF">
            <w:pPr>
              <w:jc w:val="right"/>
              <w:rPr>
                <w:b/>
                <w:color w:val="000000"/>
                <w:lang w:eastAsia="ko-KR"/>
              </w:rPr>
            </w:pPr>
            <w:r w:rsidRPr="00AA35E0">
              <w:rPr>
                <w:b/>
                <w:color w:val="000000"/>
                <w:lang w:eastAsia="ko-KR"/>
              </w:rPr>
              <w:t>3.405</w:t>
            </w:r>
          </w:p>
        </w:tc>
        <w:tc>
          <w:tcPr>
            <w:tcW w:w="1100" w:type="dxa"/>
            <w:tcBorders>
              <w:top w:val="nil"/>
              <w:left w:val="nil"/>
              <w:bottom w:val="nil"/>
              <w:right w:val="nil"/>
            </w:tcBorders>
            <w:shd w:val="clear" w:color="auto" w:fill="auto"/>
            <w:noWrap/>
            <w:vAlign w:val="bottom"/>
            <w:hideMark/>
          </w:tcPr>
          <w:p w14:paraId="28123210" w14:textId="77777777" w:rsidR="005336DF" w:rsidRPr="00AA35E0" w:rsidRDefault="005336DF" w:rsidP="005336DF">
            <w:pPr>
              <w:jc w:val="right"/>
              <w:rPr>
                <w:color w:val="000000"/>
                <w:lang w:eastAsia="ko-KR"/>
              </w:rPr>
            </w:pPr>
            <w:r w:rsidRPr="00AA35E0">
              <w:rPr>
                <w:color w:val="000000"/>
                <w:lang w:eastAsia="ko-KR"/>
              </w:rPr>
              <w:t>0.001</w:t>
            </w:r>
          </w:p>
        </w:tc>
      </w:tr>
      <w:tr w:rsidR="005336DF" w:rsidRPr="00AA35E0" w14:paraId="12A6776D" w14:textId="77777777" w:rsidTr="005336DF">
        <w:trPr>
          <w:trHeight w:val="288"/>
        </w:trPr>
        <w:tc>
          <w:tcPr>
            <w:tcW w:w="1296" w:type="dxa"/>
            <w:tcBorders>
              <w:top w:val="nil"/>
              <w:left w:val="nil"/>
              <w:bottom w:val="nil"/>
              <w:right w:val="nil"/>
            </w:tcBorders>
            <w:shd w:val="clear" w:color="auto" w:fill="auto"/>
            <w:noWrap/>
            <w:vAlign w:val="center"/>
            <w:hideMark/>
          </w:tcPr>
          <w:p w14:paraId="65798622" w14:textId="49E92E73" w:rsidR="005336DF" w:rsidRPr="00AA35E0" w:rsidRDefault="005336DF" w:rsidP="005336DF">
            <w:pPr>
              <w:jc w:val="center"/>
              <w:rPr>
                <w:b/>
                <w:bCs/>
                <w:color w:val="000000"/>
                <w:lang w:eastAsia="ko-KR"/>
              </w:rPr>
            </w:pPr>
            <w:r w:rsidRPr="00AA35E0">
              <w:rPr>
                <w:b/>
                <w:bCs/>
                <w:color w:val="000000"/>
                <w:lang w:eastAsia="ko-KR"/>
              </w:rPr>
              <w:t>RMRF</w:t>
            </w:r>
          </w:p>
        </w:tc>
        <w:tc>
          <w:tcPr>
            <w:tcW w:w="1100" w:type="dxa"/>
            <w:tcBorders>
              <w:top w:val="nil"/>
              <w:left w:val="single" w:sz="8" w:space="0" w:color="auto"/>
              <w:bottom w:val="nil"/>
              <w:right w:val="nil"/>
            </w:tcBorders>
            <w:shd w:val="clear" w:color="auto" w:fill="auto"/>
            <w:noWrap/>
            <w:vAlign w:val="bottom"/>
            <w:hideMark/>
          </w:tcPr>
          <w:p w14:paraId="021BAB6F" w14:textId="77777777" w:rsidR="005336DF" w:rsidRPr="00AA35E0" w:rsidRDefault="005336DF" w:rsidP="005336DF">
            <w:pPr>
              <w:jc w:val="right"/>
              <w:rPr>
                <w:color w:val="000000"/>
                <w:lang w:eastAsia="ko-KR"/>
              </w:rPr>
            </w:pPr>
            <w:r w:rsidRPr="00AA35E0">
              <w:rPr>
                <w:color w:val="000000"/>
                <w:lang w:eastAsia="ko-KR"/>
              </w:rPr>
              <w:t>-0.190</w:t>
            </w:r>
          </w:p>
        </w:tc>
        <w:tc>
          <w:tcPr>
            <w:tcW w:w="1100" w:type="dxa"/>
            <w:tcBorders>
              <w:top w:val="nil"/>
              <w:left w:val="nil"/>
              <w:bottom w:val="nil"/>
              <w:right w:val="nil"/>
            </w:tcBorders>
            <w:shd w:val="clear" w:color="auto" w:fill="auto"/>
            <w:noWrap/>
            <w:vAlign w:val="bottom"/>
            <w:hideMark/>
          </w:tcPr>
          <w:p w14:paraId="7A8C7612" w14:textId="77777777" w:rsidR="005336DF" w:rsidRPr="00AA35E0" w:rsidRDefault="005336DF" w:rsidP="005336DF">
            <w:pPr>
              <w:jc w:val="right"/>
              <w:rPr>
                <w:color w:val="000000"/>
                <w:lang w:eastAsia="ko-KR"/>
              </w:rPr>
            </w:pPr>
            <w:r w:rsidRPr="00AA35E0">
              <w:rPr>
                <w:color w:val="000000"/>
                <w:lang w:eastAsia="ko-KR"/>
              </w:rPr>
              <w:t>0.062</w:t>
            </w:r>
          </w:p>
        </w:tc>
        <w:tc>
          <w:tcPr>
            <w:tcW w:w="1100" w:type="dxa"/>
            <w:tcBorders>
              <w:top w:val="nil"/>
              <w:left w:val="nil"/>
              <w:bottom w:val="nil"/>
              <w:right w:val="nil"/>
            </w:tcBorders>
            <w:shd w:val="clear" w:color="auto" w:fill="auto"/>
            <w:noWrap/>
            <w:vAlign w:val="bottom"/>
            <w:hideMark/>
          </w:tcPr>
          <w:p w14:paraId="799A8BF2" w14:textId="77777777" w:rsidR="005336DF" w:rsidRPr="00AA35E0" w:rsidRDefault="005336DF" w:rsidP="005336DF">
            <w:pPr>
              <w:jc w:val="right"/>
              <w:rPr>
                <w:color w:val="000000"/>
                <w:lang w:eastAsia="ko-KR"/>
              </w:rPr>
            </w:pPr>
            <w:r w:rsidRPr="00AA35E0">
              <w:rPr>
                <w:color w:val="000000"/>
                <w:lang w:eastAsia="ko-KR"/>
              </w:rPr>
              <w:t>-3.055</w:t>
            </w:r>
          </w:p>
        </w:tc>
        <w:tc>
          <w:tcPr>
            <w:tcW w:w="1100" w:type="dxa"/>
            <w:tcBorders>
              <w:top w:val="nil"/>
              <w:left w:val="nil"/>
              <w:bottom w:val="nil"/>
              <w:right w:val="nil"/>
            </w:tcBorders>
            <w:shd w:val="clear" w:color="auto" w:fill="auto"/>
            <w:noWrap/>
            <w:vAlign w:val="bottom"/>
            <w:hideMark/>
          </w:tcPr>
          <w:p w14:paraId="38F7B9FA" w14:textId="77777777" w:rsidR="005336DF" w:rsidRPr="00AA35E0" w:rsidRDefault="005336DF" w:rsidP="005336DF">
            <w:pPr>
              <w:jc w:val="right"/>
              <w:rPr>
                <w:color w:val="000000"/>
                <w:lang w:eastAsia="ko-KR"/>
              </w:rPr>
            </w:pPr>
            <w:r w:rsidRPr="00AA35E0">
              <w:rPr>
                <w:color w:val="000000"/>
                <w:lang w:eastAsia="ko-KR"/>
              </w:rPr>
              <w:t>0.002</w:t>
            </w:r>
          </w:p>
        </w:tc>
      </w:tr>
      <w:tr w:rsidR="005336DF" w:rsidRPr="00AA35E0" w14:paraId="0E18A847" w14:textId="77777777" w:rsidTr="005336DF">
        <w:trPr>
          <w:trHeight w:val="288"/>
        </w:trPr>
        <w:tc>
          <w:tcPr>
            <w:tcW w:w="1296" w:type="dxa"/>
            <w:tcBorders>
              <w:top w:val="nil"/>
              <w:left w:val="nil"/>
              <w:bottom w:val="nil"/>
              <w:right w:val="nil"/>
            </w:tcBorders>
            <w:shd w:val="clear" w:color="auto" w:fill="auto"/>
            <w:noWrap/>
            <w:vAlign w:val="center"/>
            <w:hideMark/>
          </w:tcPr>
          <w:p w14:paraId="17404EA4" w14:textId="6C18EB21" w:rsidR="005336DF" w:rsidRPr="00AA35E0" w:rsidRDefault="005336DF" w:rsidP="005336DF">
            <w:pPr>
              <w:jc w:val="center"/>
              <w:rPr>
                <w:b/>
                <w:bCs/>
                <w:color w:val="000000"/>
                <w:lang w:eastAsia="ko-KR"/>
              </w:rPr>
            </w:pPr>
            <w:r w:rsidRPr="00AA35E0">
              <w:rPr>
                <w:b/>
                <w:bCs/>
                <w:color w:val="000000"/>
                <w:lang w:eastAsia="ko-KR"/>
              </w:rPr>
              <w:t>SMB</w:t>
            </w:r>
          </w:p>
        </w:tc>
        <w:tc>
          <w:tcPr>
            <w:tcW w:w="1100" w:type="dxa"/>
            <w:tcBorders>
              <w:top w:val="nil"/>
              <w:left w:val="single" w:sz="8" w:space="0" w:color="auto"/>
              <w:bottom w:val="nil"/>
              <w:right w:val="nil"/>
            </w:tcBorders>
            <w:shd w:val="clear" w:color="auto" w:fill="auto"/>
            <w:noWrap/>
            <w:vAlign w:val="bottom"/>
            <w:hideMark/>
          </w:tcPr>
          <w:p w14:paraId="1915AC58" w14:textId="77777777" w:rsidR="005336DF" w:rsidRPr="00AA35E0" w:rsidRDefault="005336DF" w:rsidP="005336DF">
            <w:pPr>
              <w:jc w:val="right"/>
              <w:rPr>
                <w:color w:val="000000"/>
                <w:lang w:eastAsia="ko-KR"/>
              </w:rPr>
            </w:pPr>
            <w:r w:rsidRPr="00AA35E0">
              <w:rPr>
                <w:color w:val="000000"/>
                <w:lang w:eastAsia="ko-KR"/>
              </w:rPr>
              <w:t>0.098</w:t>
            </w:r>
          </w:p>
        </w:tc>
        <w:tc>
          <w:tcPr>
            <w:tcW w:w="1100" w:type="dxa"/>
            <w:tcBorders>
              <w:top w:val="nil"/>
              <w:left w:val="nil"/>
              <w:bottom w:val="nil"/>
              <w:right w:val="nil"/>
            </w:tcBorders>
            <w:shd w:val="clear" w:color="auto" w:fill="auto"/>
            <w:noWrap/>
            <w:vAlign w:val="bottom"/>
            <w:hideMark/>
          </w:tcPr>
          <w:p w14:paraId="6F81595F" w14:textId="77777777" w:rsidR="005336DF" w:rsidRPr="00AA35E0" w:rsidRDefault="005336DF" w:rsidP="005336DF">
            <w:pPr>
              <w:jc w:val="right"/>
              <w:rPr>
                <w:color w:val="000000"/>
                <w:lang w:eastAsia="ko-KR"/>
              </w:rPr>
            </w:pPr>
            <w:r w:rsidRPr="00AA35E0">
              <w:rPr>
                <w:color w:val="000000"/>
                <w:lang w:eastAsia="ko-KR"/>
              </w:rPr>
              <w:t>0.090</w:t>
            </w:r>
          </w:p>
        </w:tc>
        <w:tc>
          <w:tcPr>
            <w:tcW w:w="1100" w:type="dxa"/>
            <w:tcBorders>
              <w:top w:val="nil"/>
              <w:left w:val="nil"/>
              <w:bottom w:val="nil"/>
              <w:right w:val="nil"/>
            </w:tcBorders>
            <w:shd w:val="clear" w:color="auto" w:fill="auto"/>
            <w:noWrap/>
            <w:vAlign w:val="bottom"/>
            <w:hideMark/>
          </w:tcPr>
          <w:p w14:paraId="504E9490" w14:textId="77777777" w:rsidR="005336DF" w:rsidRPr="00AA35E0" w:rsidRDefault="005336DF" w:rsidP="005336DF">
            <w:pPr>
              <w:jc w:val="right"/>
              <w:rPr>
                <w:color w:val="000000"/>
                <w:lang w:eastAsia="ko-KR"/>
              </w:rPr>
            </w:pPr>
            <w:r w:rsidRPr="00AA35E0">
              <w:rPr>
                <w:color w:val="000000"/>
                <w:lang w:eastAsia="ko-KR"/>
              </w:rPr>
              <w:t>1.097</w:t>
            </w:r>
          </w:p>
        </w:tc>
        <w:tc>
          <w:tcPr>
            <w:tcW w:w="1100" w:type="dxa"/>
            <w:tcBorders>
              <w:top w:val="nil"/>
              <w:left w:val="nil"/>
              <w:bottom w:val="nil"/>
              <w:right w:val="nil"/>
            </w:tcBorders>
            <w:shd w:val="clear" w:color="auto" w:fill="auto"/>
            <w:noWrap/>
            <w:vAlign w:val="bottom"/>
            <w:hideMark/>
          </w:tcPr>
          <w:p w14:paraId="71A6264F" w14:textId="77777777" w:rsidR="005336DF" w:rsidRPr="00AA35E0" w:rsidRDefault="005336DF" w:rsidP="005336DF">
            <w:pPr>
              <w:jc w:val="right"/>
              <w:rPr>
                <w:color w:val="000000"/>
                <w:lang w:eastAsia="ko-KR"/>
              </w:rPr>
            </w:pPr>
            <w:r w:rsidRPr="00AA35E0">
              <w:rPr>
                <w:color w:val="000000"/>
                <w:lang w:eastAsia="ko-KR"/>
              </w:rPr>
              <w:t>0.273</w:t>
            </w:r>
          </w:p>
        </w:tc>
      </w:tr>
      <w:tr w:rsidR="005336DF" w:rsidRPr="00AA35E0" w14:paraId="74DF99D4" w14:textId="77777777" w:rsidTr="005336DF">
        <w:trPr>
          <w:trHeight w:val="288"/>
        </w:trPr>
        <w:tc>
          <w:tcPr>
            <w:tcW w:w="1296" w:type="dxa"/>
            <w:tcBorders>
              <w:top w:val="nil"/>
              <w:left w:val="nil"/>
              <w:bottom w:val="nil"/>
              <w:right w:val="nil"/>
            </w:tcBorders>
            <w:shd w:val="clear" w:color="auto" w:fill="auto"/>
            <w:noWrap/>
            <w:vAlign w:val="center"/>
            <w:hideMark/>
          </w:tcPr>
          <w:p w14:paraId="62FC5DC5" w14:textId="33A60135" w:rsidR="005336DF" w:rsidRPr="00AA35E0" w:rsidRDefault="005336DF" w:rsidP="005336DF">
            <w:pPr>
              <w:jc w:val="center"/>
              <w:rPr>
                <w:b/>
                <w:bCs/>
                <w:color w:val="000000"/>
                <w:lang w:eastAsia="ko-KR"/>
              </w:rPr>
            </w:pPr>
            <w:r w:rsidRPr="00AA35E0">
              <w:rPr>
                <w:b/>
                <w:bCs/>
                <w:color w:val="000000"/>
                <w:lang w:eastAsia="ko-KR"/>
              </w:rPr>
              <w:t>HML</w:t>
            </w:r>
          </w:p>
        </w:tc>
        <w:tc>
          <w:tcPr>
            <w:tcW w:w="1100" w:type="dxa"/>
            <w:tcBorders>
              <w:top w:val="nil"/>
              <w:left w:val="single" w:sz="8" w:space="0" w:color="auto"/>
              <w:bottom w:val="nil"/>
              <w:right w:val="nil"/>
            </w:tcBorders>
            <w:shd w:val="clear" w:color="auto" w:fill="auto"/>
            <w:noWrap/>
            <w:vAlign w:val="bottom"/>
            <w:hideMark/>
          </w:tcPr>
          <w:p w14:paraId="06A62E54" w14:textId="77777777" w:rsidR="005336DF" w:rsidRPr="00AA35E0" w:rsidRDefault="005336DF" w:rsidP="005336DF">
            <w:pPr>
              <w:jc w:val="right"/>
              <w:rPr>
                <w:color w:val="000000"/>
                <w:lang w:eastAsia="ko-KR"/>
              </w:rPr>
            </w:pPr>
            <w:r w:rsidRPr="00AA35E0">
              <w:rPr>
                <w:color w:val="000000"/>
                <w:lang w:eastAsia="ko-KR"/>
              </w:rPr>
              <w:t>-0.302</w:t>
            </w:r>
          </w:p>
        </w:tc>
        <w:tc>
          <w:tcPr>
            <w:tcW w:w="1100" w:type="dxa"/>
            <w:tcBorders>
              <w:top w:val="nil"/>
              <w:left w:val="nil"/>
              <w:bottom w:val="nil"/>
              <w:right w:val="nil"/>
            </w:tcBorders>
            <w:shd w:val="clear" w:color="auto" w:fill="auto"/>
            <w:noWrap/>
            <w:vAlign w:val="bottom"/>
            <w:hideMark/>
          </w:tcPr>
          <w:p w14:paraId="304C053D" w14:textId="77777777" w:rsidR="005336DF" w:rsidRPr="00AA35E0" w:rsidRDefault="005336DF" w:rsidP="005336DF">
            <w:pPr>
              <w:jc w:val="right"/>
              <w:rPr>
                <w:color w:val="000000"/>
                <w:lang w:eastAsia="ko-KR"/>
              </w:rPr>
            </w:pPr>
            <w:r w:rsidRPr="00AA35E0">
              <w:rPr>
                <w:color w:val="000000"/>
                <w:lang w:eastAsia="ko-KR"/>
              </w:rPr>
              <w:t>0.096</w:t>
            </w:r>
          </w:p>
        </w:tc>
        <w:tc>
          <w:tcPr>
            <w:tcW w:w="1100" w:type="dxa"/>
            <w:tcBorders>
              <w:top w:val="nil"/>
              <w:left w:val="nil"/>
              <w:bottom w:val="nil"/>
              <w:right w:val="nil"/>
            </w:tcBorders>
            <w:shd w:val="clear" w:color="auto" w:fill="auto"/>
            <w:noWrap/>
            <w:vAlign w:val="bottom"/>
            <w:hideMark/>
          </w:tcPr>
          <w:p w14:paraId="6F71BBE4" w14:textId="77777777" w:rsidR="005336DF" w:rsidRPr="00AA35E0" w:rsidRDefault="005336DF" w:rsidP="005336DF">
            <w:pPr>
              <w:jc w:val="right"/>
              <w:rPr>
                <w:color w:val="000000"/>
                <w:lang w:eastAsia="ko-KR"/>
              </w:rPr>
            </w:pPr>
            <w:r w:rsidRPr="00AA35E0">
              <w:rPr>
                <w:color w:val="000000"/>
                <w:lang w:eastAsia="ko-KR"/>
              </w:rPr>
              <w:t>-3.154</w:t>
            </w:r>
          </w:p>
        </w:tc>
        <w:tc>
          <w:tcPr>
            <w:tcW w:w="1100" w:type="dxa"/>
            <w:tcBorders>
              <w:top w:val="nil"/>
              <w:left w:val="nil"/>
              <w:bottom w:val="nil"/>
              <w:right w:val="nil"/>
            </w:tcBorders>
            <w:shd w:val="clear" w:color="auto" w:fill="auto"/>
            <w:noWrap/>
            <w:vAlign w:val="bottom"/>
            <w:hideMark/>
          </w:tcPr>
          <w:p w14:paraId="794205A6" w14:textId="77777777" w:rsidR="005336DF" w:rsidRPr="00AA35E0" w:rsidRDefault="005336DF" w:rsidP="005336DF">
            <w:pPr>
              <w:jc w:val="right"/>
              <w:rPr>
                <w:color w:val="000000"/>
                <w:lang w:eastAsia="ko-KR"/>
              </w:rPr>
            </w:pPr>
            <w:r w:rsidRPr="00AA35E0">
              <w:rPr>
                <w:color w:val="000000"/>
                <w:lang w:eastAsia="ko-KR"/>
              </w:rPr>
              <w:t>0.002</w:t>
            </w:r>
          </w:p>
        </w:tc>
      </w:tr>
      <w:tr w:rsidR="005336DF" w:rsidRPr="00AA35E0" w14:paraId="07D8E769" w14:textId="77777777" w:rsidTr="005336DF">
        <w:trPr>
          <w:trHeight w:val="288"/>
        </w:trPr>
        <w:tc>
          <w:tcPr>
            <w:tcW w:w="1296" w:type="dxa"/>
            <w:tcBorders>
              <w:top w:val="nil"/>
              <w:left w:val="nil"/>
              <w:bottom w:val="nil"/>
              <w:right w:val="nil"/>
            </w:tcBorders>
            <w:shd w:val="clear" w:color="auto" w:fill="auto"/>
            <w:noWrap/>
            <w:vAlign w:val="center"/>
            <w:hideMark/>
          </w:tcPr>
          <w:p w14:paraId="411D42D7" w14:textId="5A02178C" w:rsidR="005336DF" w:rsidRPr="00AA35E0" w:rsidRDefault="005336DF" w:rsidP="004470FA">
            <w:pPr>
              <w:jc w:val="center"/>
              <w:rPr>
                <w:b/>
                <w:bCs/>
                <w:color w:val="000000"/>
                <w:lang w:eastAsia="ko-KR"/>
              </w:rPr>
            </w:pPr>
            <w:r w:rsidRPr="00AA35E0">
              <w:rPr>
                <w:b/>
                <w:bCs/>
                <w:color w:val="000000"/>
                <w:lang w:eastAsia="ko-KR"/>
              </w:rPr>
              <w:t>MOM_</w:t>
            </w:r>
            <w:r w:rsidR="004470FA" w:rsidRPr="00AA35E0">
              <w:rPr>
                <w:b/>
                <w:bCs/>
                <w:color w:val="000000"/>
                <w:lang w:eastAsia="ko-KR"/>
              </w:rPr>
              <w:t>COM</w:t>
            </w:r>
          </w:p>
        </w:tc>
        <w:tc>
          <w:tcPr>
            <w:tcW w:w="1100" w:type="dxa"/>
            <w:tcBorders>
              <w:top w:val="nil"/>
              <w:left w:val="single" w:sz="8" w:space="0" w:color="auto"/>
              <w:bottom w:val="nil"/>
              <w:right w:val="nil"/>
            </w:tcBorders>
            <w:shd w:val="clear" w:color="auto" w:fill="auto"/>
            <w:noWrap/>
            <w:vAlign w:val="bottom"/>
            <w:hideMark/>
          </w:tcPr>
          <w:p w14:paraId="1A9A1071" w14:textId="77777777" w:rsidR="005336DF" w:rsidRPr="00AA35E0" w:rsidRDefault="005336DF" w:rsidP="005336DF">
            <w:pPr>
              <w:jc w:val="right"/>
              <w:rPr>
                <w:color w:val="000000"/>
                <w:lang w:eastAsia="ko-KR"/>
              </w:rPr>
            </w:pPr>
            <w:r w:rsidRPr="00AA35E0">
              <w:rPr>
                <w:color w:val="000000"/>
                <w:lang w:eastAsia="ko-KR"/>
              </w:rPr>
              <w:t>0.126</w:t>
            </w:r>
          </w:p>
        </w:tc>
        <w:tc>
          <w:tcPr>
            <w:tcW w:w="1100" w:type="dxa"/>
            <w:tcBorders>
              <w:top w:val="nil"/>
              <w:left w:val="nil"/>
              <w:bottom w:val="nil"/>
              <w:right w:val="nil"/>
            </w:tcBorders>
            <w:shd w:val="clear" w:color="auto" w:fill="auto"/>
            <w:noWrap/>
            <w:vAlign w:val="bottom"/>
            <w:hideMark/>
          </w:tcPr>
          <w:p w14:paraId="23758CD4" w14:textId="77777777" w:rsidR="005336DF" w:rsidRPr="00AA35E0" w:rsidRDefault="005336DF" w:rsidP="005336DF">
            <w:pPr>
              <w:jc w:val="right"/>
              <w:rPr>
                <w:color w:val="000000"/>
                <w:lang w:eastAsia="ko-KR"/>
              </w:rPr>
            </w:pPr>
            <w:r w:rsidRPr="00AA35E0">
              <w:rPr>
                <w:color w:val="000000"/>
                <w:lang w:eastAsia="ko-KR"/>
              </w:rPr>
              <w:t>0.029</w:t>
            </w:r>
          </w:p>
        </w:tc>
        <w:tc>
          <w:tcPr>
            <w:tcW w:w="1100" w:type="dxa"/>
            <w:tcBorders>
              <w:top w:val="nil"/>
              <w:left w:val="nil"/>
              <w:bottom w:val="nil"/>
              <w:right w:val="nil"/>
            </w:tcBorders>
            <w:shd w:val="clear" w:color="auto" w:fill="auto"/>
            <w:noWrap/>
            <w:vAlign w:val="bottom"/>
            <w:hideMark/>
          </w:tcPr>
          <w:p w14:paraId="6FA86952" w14:textId="77777777" w:rsidR="005336DF" w:rsidRPr="003878B3" w:rsidRDefault="005336DF" w:rsidP="005336DF">
            <w:pPr>
              <w:jc w:val="right"/>
              <w:rPr>
                <w:b/>
                <w:color w:val="000000"/>
                <w:lang w:eastAsia="ko-KR"/>
              </w:rPr>
            </w:pPr>
            <w:r w:rsidRPr="003878B3">
              <w:rPr>
                <w:b/>
                <w:color w:val="000000"/>
                <w:lang w:eastAsia="ko-KR"/>
              </w:rPr>
              <w:t>4.320</w:t>
            </w:r>
          </w:p>
        </w:tc>
        <w:tc>
          <w:tcPr>
            <w:tcW w:w="1100" w:type="dxa"/>
            <w:tcBorders>
              <w:top w:val="nil"/>
              <w:left w:val="nil"/>
              <w:bottom w:val="nil"/>
              <w:right w:val="nil"/>
            </w:tcBorders>
            <w:shd w:val="clear" w:color="auto" w:fill="auto"/>
            <w:noWrap/>
            <w:vAlign w:val="bottom"/>
            <w:hideMark/>
          </w:tcPr>
          <w:p w14:paraId="2ADD537F" w14:textId="77777777" w:rsidR="005336DF" w:rsidRPr="00AA35E0" w:rsidRDefault="005336DF" w:rsidP="005336DF">
            <w:pPr>
              <w:jc w:val="right"/>
              <w:rPr>
                <w:color w:val="000000"/>
                <w:lang w:eastAsia="ko-KR"/>
              </w:rPr>
            </w:pPr>
            <w:r w:rsidRPr="00AA35E0">
              <w:rPr>
                <w:color w:val="000000"/>
                <w:lang w:eastAsia="ko-KR"/>
              </w:rPr>
              <w:t>0.000</w:t>
            </w:r>
          </w:p>
        </w:tc>
      </w:tr>
    </w:tbl>
    <w:p w14:paraId="6225F439" w14:textId="77777777" w:rsidR="005336DF" w:rsidRPr="00AA35E0" w:rsidRDefault="005336DF" w:rsidP="005336DF">
      <w:pPr>
        <w:pStyle w:val="ListParagraph"/>
        <w:ind w:left="1440" w:firstLineChars="0" w:firstLine="0"/>
        <w:rPr>
          <w:rFonts w:ascii="Times New Roman" w:hAnsi="Times New Roman" w:cs="Times New Roman"/>
          <w:sz w:val="24"/>
          <w:szCs w:val="24"/>
        </w:rPr>
      </w:pPr>
    </w:p>
    <w:p w14:paraId="11A61505" w14:textId="3F61ED0C" w:rsidR="005336DF" w:rsidRPr="00AA35E0" w:rsidRDefault="004470FA" w:rsidP="004470FA">
      <w:pPr>
        <w:rPr>
          <w:rFonts w:eastAsiaTheme="minorEastAsia"/>
          <w:kern w:val="2"/>
        </w:rPr>
      </w:pPr>
      <w:r w:rsidRPr="00AA35E0">
        <w:br w:type="page"/>
      </w:r>
    </w:p>
    <w:p w14:paraId="27D283AD" w14:textId="42430B1E" w:rsidR="005336DF" w:rsidRPr="00AA35E0" w:rsidRDefault="004470FA" w:rsidP="004470FA">
      <w:pPr>
        <w:pStyle w:val="ListParagraph"/>
        <w:numPr>
          <w:ilvl w:val="0"/>
          <w:numId w:val="11"/>
        </w:numPr>
        <w:ind w:firstLineChars="0"/>
        <w:rPr>
          <w:rFonts w:ascii="Times New Roman" w:hAnsi="Times New Roman" w:cs="Times New Roman"/>
          <w:sz w:val="24"/>
          <w:szCs w:val="24"/>
        </w:rPr>
      </w:pPr>
      <w:r w:rsidRPr="00AA35E0">
        <w:rPr>
          <w:rFonts w:ascii="Times New Roman" w:hAnsi="Times New Roman" w:cs="Times New Roman"/>
          <w:sz w:val="24"/>
          <w:szCs w:val="24"/>
        </w:rPr>
        <w:lastRenderedPageBreak/>
        <w:t xml:space="preserve">The table below summarizes the regression result with 3-factor model plus the industry momentum to explain the commodity momentum. </w:t>
      </w:r>
      <w:r w:rsidR="00374647">
        <w:rPr>
          <w:rFonts w:ascii="Times New Roman" w:hAnsi="Times New Roman" w:cs="Times New Roman"/>
          <w:sz w:val="24"/>
          <w:szCs w:val="24"/>
        </w:rPr>
        <w:t>The estimate of the industry momentum portfolio is statistically significant, so the industry momentum does explain the commodity momentum. In addition, w</w:t>
      </w:r>
      <w:r w:rsidRPr="00AA35E0">
        <w:rPr>
          <w:rFonts w:ascii="Times New Roman" w:hAnsi="Times New Roman" w:cs="Times New Roman"/>
          <w:sz w:val="24"/>
          <w:szCs w:val="24"/>
        </w:rPr>
        <w:t>e observe a decreased value in the intercept,</w:t>
      </w:r>
      <w:r w:rsidR="003878B3">
        <w:rPr>
          <w:rFonts w:ascii="Times New Roman" w:hAnsi="Times New Roman" w:cs="Times New Roman"/>
          <w:sz w:val="24"/>
          <w:szCs w:val="24"/>
        </w:rPr>
        <w:t xml:space="preserve"> which means </w:t>
      </w:r>
      <w:r w:rsidR="00374647">
        <w:rPr>
          <w:rFonts w:ascii="Times New Roman" w:hAnsi="Times New Roman" w:cs="Times New Roman"/>
          <w:sz w:val="24"/>
          <w:szCs w:val="24"/>
        </w:rPr>
        <w:t>part of the abnormal returns that are not captured by the 3-factor model is explained by the industry momentum,</w:t>
      </w:r>
      <w:r w:rsidRPr="00AA35E0">
        <w:rPr>
          <w:rFonts w:ascii="Times New Roman" w:hAnsi="Times New Roman" w:cs="Times New Roman"/>
          <w:sz w:val="24"/>
          <w:szCs w:val="24"/>
        </w:rPr>
        <w:t xml:space="preserve"> </w:t>
      </w:r>
      <w:r w:rsidR="00374647">
        <w:rPr>
          <w:rFonts w:ascii="Times New Roman" w:hAnsi="Times New Roman" w:cs="Times New Roman"/>
          <w:sz w:val="24"/>
          <w:szCs w:val="24"/>
        </w:rPr>
        <w:t xml:space="preserve">but </w:t>
      </w:r>
      <m:oMath>
        <m:r>
          <m:rPr>
            <m:sty m:val="p"/>
          </m:rPr>
          <w:rPr>
            <w:rFonts w:ascii="Cambria Math" w:hAnsi="Cambria Math" w:cs="Times New Roman"/>
            <w:sz w:val="24"/>
            <w:szCs w:val="24"/>
          </w:rPr>
          <m:t>α</m:t>
        </m:r>
      </m:oMath>
      <w:r w:rsidRPr="00AA35E0">
        <w:rPr>
          <w:rFonts w:ascii="Times New Roman" w:hAnsi="Times New Roman" w:cs="Times New Roman"/>
          <w:sz w:val="24"/>
          <w:szCs w:val="24"/>
        </w:rPr>
        <w:t xml:space="preserve"> is still economically significant and statistically significant at 5% level. Therefore, we cannot say that the industry momentum effect sufficiently captures the momentum in commodities portfolios.</w:t>
      </w:r>
    </w:p>
    <w:p w14:paraId="52125EF6" w14:textId="77777777" w:rsidR="005336DF" w:rsidRPr="00AA35E0" w:rsidRDefault="005336DF" w:rsidP="005336DF">
      <w:pPr>
        <w:pStyle w:val="ListParagraph"/>
        <w:ind w:left="1440" w:firstLineChars="0" w:firstLine="0"/>
        <w:rPr>
          <w:rFonts w:ascii="Times New Roman" w:hAnsi="Times New Roman" w:cs="Times New Roman"/>
          <w:sz w:val="24"/>
          <w:szCs w:val="24"/>
        </w:rPr>
      </w:pPr>
    </w:p>
    <w:tbl>
      <w:tblPr>
        <w:tblW w:w="5696" w:type="dxa"/>
        <w:tblInd w:w="2393" w:type="dxa"/>
        <w:tblLook w:val="04A0" w:firstRow="1" w:lastRow="0" w:firstColumn="1" w:lastColumn="0" w:noHBand="0" w:noVBand="1"/>
      </w:tblPr>
      <w:tblGrid>
        <w:gridCol w:w="1416"/>
        <w:gridCol w:w="1100"/>
        <w:gridCol w:w="1100"/>
        <w:gridCol w:w="1100"/>
        <w:gridCol w:w="1100"/>
      </w:tblGrid>
      <w:tr w:rsidR="005336DF" w:rsidRPr="00AA35E0" w14:paraId="14ECA5C0" w14:textId="77777777" w:rsidTr="00F92798">
        <w:trPr>
          <w:trHeight w:val="300"/>
        </w:trPr>
        <w:tc>
          <w:tcPr>
            <w:tcW w:w="1296" w:type="dxa"/>
            <w:tcBorders>
              <w:top w:val="nil"/>
              <w:left w:val="nil"/>
              <w:bottom w:val="single" w:sz="8" w:space="0" w:color="auto"/>
              <w:right w:val="nil"/>
            </w:tcBorders>
            <w:shd w:val="clear" w:color="auto" w:fill="auto"/>
            <w:noWrap/>
            <w:vAlign w:val="center"/>
            <w:hideMark/>
          </w:tcPr>
          <w:p w14:paraId="79DBE37B" w14:textId="77777777" w:rsidR="005336DF" w:rsidRPr="00AA35E0" w:rsidRDefault="005336DF" w:rsidP="00F92798">
            <w:pPr>
              <w:jc w:val="center"/>
              <w:rPr>
                <w:b/>
                <w:color w:val="000000"/>
                <w:lang w:eastAsia="ko-KR"/>
              </w:rPr>
            </w:pPr>
          </w:p>
        </w:tc>
        <w:tc>
          <w:tcPr>
            <w:tcW w:w="1100" w:type="dxa"/>
            <w:tcBorders>
              <w:top w:val="nil"/>
              <w:left w:val="single" w:sz="8" w:space="0" w:color="auto"/>
              <w:bottom w:val="single" w:sz="8" w:space="0" w:color="auto"/>
              <w:right w:val="nil"/>
            </w:tcBorders>
            <w:shd w:val="clear" w:color="auto" w:fill="auto"/>
            <w:noWrap/>
            <w:vAlign w:val="center"/>
            <w:hideMark/>
          </w:tcPr>
          <w:p w14:paraId="03B2E8BD" w14:textId="77777777" w:rsidR="005336DF" w:rsidRPr="00AA35E0" w:rsidRDefault="005336DF" w:rsidP="00F92798">
            <w:pPr>
              <w:jc w:val="center"/>
              <w:rPr>
                <w:b/>
                <w:color w:val="000000"/>
                <w:lang w:eastAsia="ko-KR"/>
              </w:rPr>
            </w:pPr>
            <w:r w:rsidRPr="00AA35E0">
              <w:rPr>
                <w:b/>
                <w:color w:val="000000"/>
                <w:lang w:eastAsia="ko-KR"/>
              </w:rPr>
              <w:t>estimate</w:t>
            </w:r>
          </w:p>
        </w:tc>
        <w:tc>
          <w:tcPr>
            <w:tcW w:w="1100" w:type="dxa"/>
            <w:tcBorders>
              <w:top w:val="nil"/>
              <w:left w:val="nil"/>
              <w:bottom w:val="single" w:sz="8" w:space="0" w:color="auto"/>
              <w:right w:val="nil"/>
            </w:tcBorders>
            <w:shd w:val="clear" w:color="auto" w:fill="auto"/>
            <w:noWrap/>
            <w:vAlign w:val="center"/>
            <w:hideMark/>
          </w:tcPr>
          <w:p w14:paraId="0197424D" w14:textId="77777777" w:rsidR="005336DF" w:rsidRPr="00AA35E0" w:rsidRDefault="005336DF" w:rsidP="00F92798">
            <w:pPr>
              <w:jc w:val="center"/>
              <w:rPr>
                <w:b/>
                <w:color w:val="000000"/>
                <w:lang w:eastAsia="ko-KR"/>
              </w:rPr>
            </w:pPr>
            <w:r w:rsidRPr="00AA35E0">
              <w:rPr>
                <w:b/>
                <w:color w:val="000000"/>
                <w:lang w:eastAsia="ko-KR"/>
              </w:rPr>
              <w:t>S.E.</w:t>
            </w:r>
          </w:p>
        </w:tc>
        <w:tc>
          <w:tcPr>
            <w:tcW w:w="1100" w:type="dxa"/>
            <w:tcBorders>
              <w:top w:val="nil"/>
              <w:left w:val="nil"/>
              <w:bottom w:val="single" w:sz="8" w:space="0" w:color="auto"/>
              <w:right w:val="nil"/>
            </w:tcBorders>
            <w:shd w:val="clear" w:color="auto" w:fill="auto"/>
            <w:noWrap/>
            <w:vAlign w:val="center"/>
            <w:hideMark/>
          </w:tcPr>
          <w:p w14:paraId="22D73AD3" w14:textId="77777777" w:rsidR="005336DF" w:rsidRPr="00AA35E0" w:rsidRDefault="005336DF" w:rsidP="00F92798">
            <w:pPr>
              <w:jc w:val="center"/>
              <w:rPr>
                <w:b/>
                <w:color w:val="000000"/>
                <w:lang w:eastAsia="ko-KR"/>
              </w:rPr>
            </w:pPr>
            <w:r w:rsidRPr="00AA35E0">
              <w:rPr>
                <w:b/>
                <w:color w:val="000000"/>
                <w:lang w:eastAsia="ko-KR"/>
              </w:rPr>
              <w:t>t-stat</w:t>
            </w:r>
          </w:p>
        </w:tc>
        <w:tc>
          <w:tcPr>
            <w:tcW w:w="1100" w:type="dxa"/>
            <w:tcBorders>
              <w:top w:val="nil"/>
              <w:left w:val="nil"/>
              <w:bottom w:val="single" w:sz="8" w:space="0" w:color="auto"/>
              <w:right w:val="nil"/>
            </w:tcBorders>
            <w:shd w:val="clear" w:color="auto" w:fill="auto"/>
            <w:noWrap/>
            <w:vAlign w:val="center"/>
            <w:hideMark/>
          </w:tcPr>
          <w:p w14:paraId="35F862A2" w14:textId="77777777" w:rsidR="005336DF" w:rsidRPr="00AA35E0" w:rsidRDefault="005336DF" w:rsidP="00F92798">
            <w:pPr>
              <w:jc w:val="center"/>
              <w:rPr>
                <w:b/>
                <w:color w:val="000000"/>
                <w:lang w:eastAsia="ko-KR"/>
              </w:rPr>
            </w:pPr>
            <w:r w:rsidRPr="00AA35E0">
              <w:rPr>
                <w:b/>
                <w:color w:val="000000"/>
                <w:lang w:eastAsia="ko-KR"/>
              </w:rPr>
              <w:t>p-value</w:t>
            </w:r>
          </w:p>
        </w:tc>
      </w:tr>
      <w:tr w:rsidR="005336DF" w:rsidRPr="00AA35E0" w14:paraId="133B26E9" w14:textId="77777777" w:rsidTr="00F92798">
        <w:trPr>
          <w:trHeight w:val="288"/>
        </w:trPr>
        <w:tc>
          <w:tcPr>
            <w:tcW w:w="1296" w:type="dxa"/>
            <w:tcBorders>
              <w:top w:val="nil"/>
              <w:left w:val="nil"/>
              <w:bottom w:val="nil"/>
              <w:right w:val="nil"/>
            </w:tcBorders>
            <w:shd w:val="clear" w:color="auto" w:fill="auto"/>
            <w:noWrap/>
            <w:vAlign w:val="center"/>
            <w:hideMark/>
          </w:tcPr>
          <w:p w14:paraId="559F7E15" w14:textId="77777777" w:rsidR="005336DF" w:rsidRPr="00AA35E0" w:rsidRDefault="005336DF" w:rsidP="005336DF">
            <w:pPr>
              <w:jc w:val="center"/>
              <w:rPr>
                <w:color w:val="000000"/>
                <w:lang w:eastAsia="ko-KR"/>
              </w:rPr>
            </w:pPr>
            <m:oMathPara>
              <m:oMath>
                <m:r>
                  <m:rPr>
                    <m:sty m:val="b"/>
                  </m:rPr>
                  <w:rPr>
                    <w:rFonts w:ascii="Cambria Math" w:hAnsi="Cambria Math"/>
                  </w:rPr>
                  <m:t>α</m:t>
                </m:r>
              </m:oMath>
            </m:oMathPara>
          </w:p>
        </w:tc>
        <w:tc>
          <w:tcPr>
            <w:tcW w:w="1100" w:type="dxa"/>
            <w:tcBorders>
              <w:top w:val="nil"/>
              <w:left w:val="single" w:sz="8" w:space="0" w:color="auto"/>
              <w:bottom w:val="nil"/>
              <w:right w:val="nil"/>
            </w:tcBorders>
            <w:shd w:val="clear" w:color="auto" w:fill="auto"/>
            <w:noWrap/>
            <w:vAlign w:val="bottom"/>
            <w:hideMark/>
          </w:tcPr>
          <w:p w14:paraId="62B4C278" w14:textId="3F6D2CD9" w:rsidR="005336DF" w:rsidRPr="00AA35E0" w:rsidRDefault="005336DF" w:rsidP="005336DF">
            <w:pPr>
              <w:jc w:val="right"/>
              <w:rPr>
                <w:color w:val="000000"/>
                <w:lang w:eastAsia="ko-KR"/>
              </w:rPr>
            </w:pPr>
            <w:r w:rsidRPr="00AA35E0">
              <w:rPr>
                <w:color w:val="000000"/>
              </w:rPr>
              <w:t>0.802</w:t>
            </w:r>
          </w:p>
        </w:tc>
        <w:tc>
          <w:tcPr>
            <w:tcW w:w="1100" w:type="dxa"/>
            <w:tcBorders>
              <w:top w:val="nil"/>
              <w:left w:val="nil"/>
              <w:bottom w:val="nil"/>
              <w:right w:val="nil"/>
            </w:tcBorders>
            <w:shd w:val="clear" w:color="auto" w:fill="auto"/>
            <w:noWrap/>
            <w:vAlign w:val="bottom"/>
            <w:hideMark/>
          </w:tcPr>
          <w:p w14:paraId="4B956370" w14:textId="70257186" w:rsidR="005336DF" w:rsidRPr="00AA35E0" w:rsidRDefault="005336DF" w:rsidP="005336DF">
            <w:pPr>
              <w:jc w:val="right"/>
              <w:rPr>
                <w:color w:val="000000"/>
                <w:lang w:eastAsia="ko-KR"/>
              </w:rPr>
            </w:pPr>
            <w:r w:rsidRPr="00AA35E0">
              <w:rPr>
                <w:color w:val="000000"/>
              </w:rPr>
              <w:t>0.399</w:t>
            </w:r>
          </w:p>
        </w:tc>
        <w:tc>
          <w:tcPr>
            <w:tcW w:w="1100" w:type="dxa"/>
            <w:tcBorders>
              <w:top w:val="nil"/>
              <w:left w:val="nil"/>
              <w:bottom w:val="nil"/>
              <w:right w:val="nil"/>
            </w:tcBorders>
            <w:shd w:val="clear" w:color="auto" w:fill="auto"/>
            <w:noWrap/>
            <w:vAlign w:val="bottom"/>
            <w:hideMark/>
          </w:tcPr>
          <w:p w14:paraId="3D14A477" w14:textId="60A18566" w:rsidR="005336DF" w:rsidRPr="00AA35E0" w:rsidRDefault="005336DF" w:rsidP="005336DF">
            <w:pPr>
              <w:jc w:val="right"/>
              <w:rPr>
                <w:b/>
                <w:color w:val="000000"/>
                <w:lang w:eastAsia="ko-KR"/>
              </w:rPr>
            </w:pPr>
            <w:r w:rsidRPr="00AA35E0">
              <w:rPr>
                <w:b/>
                <w:color w:val="000000"/>
              </w:rPr>
              <w:t>2.008</w:t>
            </w:r>
          </w:p>
        </w:tc>
        <w:tc>
          <w:tcPr>
            <w:tcW w:w="1100" w:type="dxa"/>
            <w:tcBorders>
              <w:top w:val="nil"/>
              <w:left w:val="nil"/>
              <w:bottom w:val="nil"/>
              <w:right w:val="nil"/>
            </w:tcBorders>
            <w:shd w:val="clear" w:color="auto" w:fill="auto"/>
            <w:noWrap/>
            <w:vAlign w:val="bottom"/>
            <w:hideMark/>
          </w:tcPr>
          <w:p w14:paraId="5BF64ED5" w14:textId="7F6F5091" w:rsidR="005336DF" w:rsidRPr="00AA35E0" w:rsidRDefault="005336DF" w:rsidP="005336DF">
            <w:pPr>
              <w:jc w:val="right"/>
              <w:rPr>
                <w:color w:val="000000"/>
                <w:lang w:eastAsia="ko-KR"/>
              </w:rPr>
            </w:pPr>
            <w:r w:rsidRPr="00AA35E0">
              <w:rPr>
                <w:color w:val="000000"/>
              </w:rPr>
              <w:t>0.045</w:t>
            </w:r>
          </w:p>
        </w:tc>
      </w:tr>
      <w:tr w:rsidR="005336DF" w:rsidRPr="00AA35E0" w14:paraId="577628AE" w14:textId="77777777" w:rsidTr="00F92798">
        <w:trPr>
          <w:trHeight w:val="288"/>
        </w:trPr>
        <w:tc>
          <w:tcPr>
            <w:tcW w:w="1296" w:type="dxa"/>
            <w:tcBorders>
              <w:top w:val="nil"/>
              <w:left w:val="nil"/>
              <w:bottom w:val="nil"/>
              <w:right w:val="nil"/>
            </w:tcBorders>
            <w:shd w:val="clear" w:color="auto" w:fill="auto"/>
            <w:noWrap/>
            <w:vAlign w:val="center"/>
            <w:hideMark/>
          </w:tcPr>
          <w:p w14:paraId="5F5070D7" w14:textId="77777777" w:rsidR="005336DF" w:rsidRPr="00AA35E0" w:rsidRDefault="005336DF" w:rsidP="005336DF">
            <w:pPr>
              <w:jc w:val="center"/>
              <w:rPr>
                <w:b/>
                <w:bCs/>
                <w:color w:val="000000"/>
                <w:lang w:eastAsia="ko-KR"/>
              </w:rPr>
            </w:pPr>
            <w:r w:rsidRPr="00AA35E0">
              <w:rPr>
                <w:b/>
                <w:bCs/>
                <w:color w:val="000000"/>
                <w:lang w:eastAsia="ko-KR"/>
              </w:rPr>
              <w:t>RMRF</w:t>
            </w:r>
          </w:p>
        </w:tc>
        <w:tc>
          <w:tcPr>
            <w:tcW w:w="1100" w:type="dxa"/>
            <w:tcBorders>
              <w:top w:val="nil"/>
              <w:left w:val="single" w:sz="8" w:space="0" w:color="auto"/>
              <w:bottom w:val="nil"/>
              <w:right w:val="nil"/>
            </w:tcBorders>
            <w:shd w:val="clear" w:color="auto" w:fill="auto"/>
            <w:noWrap/>
            <w:vAlign w:val="bottom"/>
            <w:hideMark/>
          </w:tcPr>
          <w:p w14:paraId="2C05CACA" w14:textId="0D2B30E7" w:rsidR="005336DF" w:rsidRPr="00AA35E0" w:rsidRDefault="005336DF" w:rsidP="005336DF">
            <w:pPr>
              <w:jc w:val="right"/>
              <w:rPr>
                <w:color w:val="000000"/>
                <w:lang w:eastAsia="ko-KR"/>
              </w:rPr>
            </w:pPr>
            <w:r w:rsidRPr="00AA35E0">
              <w:rPr>
                <w:color w:val="000000"/>
              </w:rPr>
              <w:t>0.062</w:t>
            </w:r>
          </w:p>
        </w:tc>
        <w:tc>
          <w:tcPr>
            <w:tcW w:w="1100" w:type="dxa"/>
            <w:tcBorders>
              <w:top w:val="nil"/>
              <w:left w:val="nil"/>
              <w:bottom w:val="nil"/>
              <w:right w:val="nil"/>
            </w:tcBorders>
            <w:shd w:val="clear" w:color="auto" w:fill="auto"/>
            <w:noWrap/>
            <w:vAlign w:val="bottom"/>
            <w:hideMark/>
          </w:tcPr>
          <w:p w14:paraId="75416353" w14:textId="0A7D1370" w:rsidR="005336DF" w:rsidRPr="00AA35E0" w:rsidRDefault="005336DF" w:rsidP="005336DF">
            <w:pPr>
              <w:jc w:val="right"/>
              <w:rPr>
                <w:color w:val="000000"/>
                <w:lang w:eastAsia="ko-KR"/>
              </w:rPr>
            </w:pPr>
            <w:r w:rsidRPr="00AA35E0">
              <w:rPr>
                <w:color w:val="000000"/>
              </w:rPr>
              <w:t>0.091</w:t>
            </w:r>
          </w:p>
        </w:tc>
        <w:tc>
          <w:tcPr>
            <w:tcW w:w="1100" w:type="dxa"/>
            <w:tcBorders>
              <w:top w:val="nil"/>
              <w:left w:val="nil"/>
              <w:bottom w:val="nil"/>
              <w:right w:val="nil"/>
            </w:tcBorders>
            <w:shd w:val="clear" w:color="auto" w:fill="auto"/>
            <w:noWrap/>
            <w:vAlign w:val="bottom"/>
            <w:hideMark/>
          </w:tcPr>
          <w:p w14:paraId="688C4CFA" w14:textId="13BCE755" w:rsidR="005336DF" w:rsidRPr="00AA35E0" w:rsidRDefault="005336DF" w:rsidP="005336DF">
            <w:pPr>
              <w:jc w:val="right"/>
              <w:rPr>
                <w:color w:val="000000"/>
                <w:lang w:eastAsia="ko-KR"/>
              </w:rPr>
            </w:pPr>
            <w:r w:rsidRPr="00AA35E0">
              <w:rPr>
                <w:color w:val="000000"/>
              </w:rPr>
              <w:t>0.675</w:t>
            </w:r>
          </w:p>
        </w:tc>
        <w:tc>
          <w:tcPr>
            <w:tcW w:w="1100" w:type="dxa"/>
            <w:tcBorders>
              <w:top w:val="nil"/>
              <w:left w:val="nil"/>
              <w:bottom w:val="nil"/>
              <w:right w:val="nil"/>
            </w:tcBorders>
            <w:shd w:val="clear" w:color="auto" w:fill="auto"/>
            <w:noWrap/>
            <w:vAlign w:val="bottom"/>
            <w:hideMark/>
          </w:tcPr>
          <w:p w14:paraId="69720D53" w14:textId="0969FD02" w:rsidR="005336DF" w:rsidRPr="00AA35E0" w:rsidRDefault="005336DF" w:rsidP="005336DF">
            <w:pPr>
              <w:jc w:val="right"/>
              <w:rPr>
                <w:color w:val="000000"/>
                <w:lang w:eastAsia="ko-KR"/>
              </w:rPr>
            </w:pPr>
            <w:r w:rsidRPr="00AA35E0">
              <w:rPr>
                <w:color w:val="000000"/>
              </w:rPr>
              <w:t>0.500</w:t>
            </w:r>
          </w:p>
        </w:tc>
      </w:tr>
      <w:tr w:rsidR="005336DF" w:rsidRPr="00AA35E0" w14:paraId="52C9AAA2" w14:textId="77777777" w:rsidTr="00F92798">
        <w:trPr>
          <w:trHeight w:val="288"/>
        </w:trPr>
        <w:tc>
          <w:tcPr>
            <w:tcW w:w="1296" w:type="dxa"/>
            <w:tcBorders>
              <w:top w:val="nil"/>
              <w:left w:val="nil"/>
              <w:bottom w:val="nil"/>
              <w:right w:val="nil"/>
            </w:tcBorders>
            <w:shd w:val="clear" w:color="auto" w:fill="auto"/>
            <w:noWrap/>
            <w:vAlign w:val="center"/>
            <w:hideMark/>
          </w:tcPr>
          <w:p w14:paraId="6B037AE4" w14:textId="77777777" w:rsidR="005336DF" w:rsidRPr="00AA35E0" w:rsidRDefault="005336DF" w:rsidP="005336DF">
            <w:pPr>
              <w:jc w:val="center"/>
              <w:rPr>
                <w:b/>
                <w:bCs/>
                <w:color w:val="000000"/>
                <w:lang w:eastAsia="ko-KR"/>
              </w:rPr>
            </w:pPr>
            <w:r w:rsidRPr="00AA35E0">
              <w:rPr>
                <w:b/>
                <w:bCs/>
                <w:color w:val="000000"/>
                <w:lang w:eastAsia="ko-KR"/>
              </w:rPr>
              <w:t>SMB</w:t>
            </w:r>
          </w:p>
        </w:tc>
        <w:tc>
          <w:tcPr>
            <w:tcW w:w="1100" w:type="dxa"/>
            <w:tcBorders>
              <w:top w:val="nil"/>
              <w:left w:val="single" w:sz="8" w:space="0" w:color="auto"/>
              <w:bottom w:val="nil"/>
              <w:right w:val="nil"/>
            </w:tcBorders>
            <w:shd w:val="clear" w:color="auto" w:fill="auto"/>
            <w:noWrap/>
            <w:vAlign w:val="bottom"/>
            <w:hideMark/>
          </w:tcPr>
          <w:p w14:paraId="7F8E7B4E" w14:textId="461E66EC" w:rsidR="005336DF" w:rsidRPr="00AA35E0" w:rsidRDefault="005336DF" w:rsidP="005336DF">
            <w:pPr>
              <w:jc w:val="right"/>
              <w:rPr>
                <w:color w:val="000000"/>
                <w:lang w:eastAsia="ko-KR"/>
              </w:rPr>
            </w:pPr>
            <w:r w:rsidRPr="00AA35E0">
              <w:rPr>
                <w:color w:val="000000"/>
              </w:rPr>
              <w:t>0.001</w:t>
            </w:r>
          </w:p>
        </w:tc>
        <w:tc>
          <w:tcPr>
            <w:tcW w:w="1100" w:type="dxa"/>
            <w:tcBorders>
              <w:top w:val="nil"/>
              <w:left w:val="nil"/>
              <w:bottom w:val="nil"/>
              <w:right w:val="nil"/>
            </w:tcBorders>
            <w:shd w:val="clear" w:color="auto" w:fill="auto"/>
            <w:noWrap/>
            <w:vAlign w:val="bottom"/>
            <w:hideMark/>
          </w:tcPr>
          <w:p w14:paraId="181D508E" w14:textId="3C2DF363" w:rsidR="005336DF" w:rsidRPr="00AA35E0" w:rsidRDefault="005336DF" w:rsidP="005336DF">
            <w:pPr>
              <w:jc w:val="right"/>
              <w:rPr>
                <w:color w:val="000000"/>
                <w:lang w:eastAsia="ko-KR"/>
              </w:rPr>
            </w:pPr>
            <w:r w:rsidRPr="00AA35E0">
              <w:rPr>
                <w:color w:val="000000"/>
              </w:rPr>
              <w:t>0.131</w:t>
            </w:r>
          </w:p>
        </w:tc>
        <w:tc>
          <w:tcPr>
            <w:tcW w:w="1100" w:type="dxa"/>
            <w:tcBorders>
              <w:top w:val="nil"/>
              <w:left w:val="nil"/>
              <w:bottom w:val="nil"/>
              <w:right w:val="nil"/>
            </w:tcBorders>
            <w:shd w:val="clear" w:color="auto" w:fill="auto"/>
            <w:noWrap/>
            <w:vAlign w:val="bottom"/>
            <w:hideMark/>
          </w:tcPr>
          <w:p w14:paraId="37A81CBF" w14:textId="0816E0E0" w:rsidR="005336DF" w:rsidRPr="00AA35E0" w:rsidRDefault="005336DF" w:rsidP="005336DF">
            <w:pPr>
              <w:jc w:val="right"/>
              <w:rPr>
                <w:color w:val="000000"/>
                <w:lang w:eastAsia="ko-KR"/>
              </w:rPr>
            </w:pPr>
            <w:r w:rsidRPr="00AA35E0">
              <w:rPr>
                <w:color w:val="000000"/>
              </w:rPr>
              <w:t>0.006</w:t>
            </w:r>
          </w:p>
        </w:tc>
        <w:tc>
          <w:tcPr>
            <w:tcW w:w="1100" w:type="dxa"/>
            <w:tcBorders>
              <w:top w:val="nil"/>
              <w:left w:val="nil"/>
              <w:bottom w:val="nil"/>
              <w:right w:val="nil"/>
            </w:tcBorders>
            <w:shd w:val="clear" w:color="auto" w:fill="auto"/>
            <w:noWrap/>
            <w:vAlign w:val="bottom"/>
            <w:hideMark/>
          </w:tcPr>
          <w:p w14:paraId="476397F7" w14:textId="37CE80D5" w:rsidR="005336DF" w:rsidRPr="00AA35E0" w:rsidRDefault="005336DF" w:rsidP="005336DF">
            <w:pPr>
              <w:jc w:val="right"/>
              <w:rPr>
                <w:color w:val="000000"/>
                <w:lang w:eastAsia="ko-KR"/>
              </w:rPr>
            </w:pPr>
            <w:r w:rsidRPr="00AA35E0">
              <w:rPr>
                <w:color w:val="000000"/>
              </w:rPr>
              <w:t>0.995</w:t>
            </w:r>
          </w:p>
        </w:tc>
      </w:tr>
      <w:tr w:rsidR="005336DF" w:rsidRPr="00AA35E0" w14:paraId="764311C5" w14:textId="77777777" w:rsidTr="00F92798">
        <w:trPr>
          <w:trHeight w:val="288"/>
        </w:trPr>
        <w:tc>
          <w:tcPr>
            <w:tcW w:w="1296" w:type="dxa"/>
            <w:tcBorders>
              <w:top w:val="nil"/>
              <w:left w:val="nil"/>
              <w:bottom w:val="nil"/>
              <w:right w:val="nil"/>
            </w:tcBorders>
            <w:shd w:val="clear" w:color="auto" w:fill="auto"/>
            <w:noWrap/>
            <w:vAlign w:val="center"/>
            <w:hideMark/>
          </w:tcPr>
          <w:p w14:paraId="1DA3E2C5" w14:textId="77777777" w:rsidR="005336DF" w:rsidRPr="00AA35E0" w:rsidRDefault="005336DF" w:rsidP="005336DF">
            <w:pPr>
              <w:jc w:val="center"/>
              <w:rPr>
                <w:b/>
                <w:bCs/>
                <w:color w:val="000000"/>
                <w:lang w:eastAsia="ko-KR"/>
              </w:rPr>
            </w:pPr>
            <w:r w:rsidRPr="00AA35E0">
              <w:rPr>
                <w:b/>
                <w:bCs/>
                <w:color w:val="000000"/>
                <w:lang w:eastAsia="ko-KR"/>
              </w:rPr>
              <w:t>HML</w:t>
            </w:r>
          </w:p>
        </w:tc>
        <w:tc>
          <w:tcPr>
            <w:tcW w:w="1100" w:type="dxa"/>
            <w:tcBorders>
              <w:top w:val="nil"/>
              <w:left w:val="single" w:sz="8" w:space="0" w:color="auto"/>
              <w:bottom w:val="nil"/>
              <w:right w:val="nil"/>
            </w:tcBorders>
            <w:shd w:val="clear" w:color="auto" w:fill="auto"/>
            <w:noWrap/>
            <w:vAlign w:val="bottom"/>
            <w:hideMark/>
          </w:tcPr>
          <w:p w14:paraId="333F51D8" w14:textId="63565CBE" w:rsidR="005336DF" w:rsidRPr="00AA35E0" w:rsidRDefault="005336DF" w:rsidP="005336DF">
            <w:pPr>
              <w:jc w:val="right"/>
              <w:rPr>
                <w:color w:val="000000"/>
                <w:lang w:eastAsia="ko-KR"/>
              </w:rPr>
            </w:pPr>
            <w:r w:rsidRPr="00AA35E0">
              <w:rPr>
                <w:color w:val="000000"/>
              </w:rPr>
              <w:t>0.015</w:t>
            </w:r>
          </w:p>
        </w:tc>
        <w:tc>
          <w:tcPr>
            <w:tcW w:w="1100" w:type="dxa"/>
            <w:tcBorders>
              <w:top w:val="nil"/>
              <w:left w:val="nil"/>
              <w:bottom w:val="nil"/>
              <w:right w:val="nil"/>
            </w:tcBorders>
            <w:shd w:val="clear" w:color="auto" w:fill="auto"/>
            <w:noWrap/>
            <w:vAlign w:val="bottom"/>
            <w:hideMark/>
          </w:tcPr>
          <w:p w14:paraId="1F33A0BD" w14:textId="004AB3A2" w:rsidR="005336DF" w:rsidRPr="00AA35E0" w:rsidRDefault="005336DF" w:rsidP="005336DF">
            <w:pPr>
              <w:jc w:val="right"/>
              <w:rPr>
                <w:color w:val="000000"/>
                <w:lang w:eastAsia="ko-KR"/>
              </w:rPr>
            </w:pPr>
            <w:r w:rsidRPr="00AA35E0">
              <w:rPr>
                <w:color w:val="000000"/>
              </w:rPr>
              <w:t>0.141</w:t>
            </w:r>
          </w:p>
        </w:tc>
        <w:tc>
          <w:tcPr>
            <w:tcW w:w="1100" w:type="dxa"/>
            <w:tcBorders>
              <w:top w:val="nil"/>
              <w:left w:val="nil"/>
              <w:bottom w:val="nil"/>
              <w:right w:val="nil"/>
            </w:tcBorders>
            <w:shd w:val="clear" w:color="auto" w:fill="auto"/>
            <w:noWrap/>
            <w:vAlign w:val="bottom"/>
            <w:hideMark/>
          </w:tcPr>
          <w:p w14:paraId="1AAA4143" w14:textId="62C25890" w:rsidR="005336DF" w:rsidRPr="00AA35E0" w:rsidRDefault="005336DF" w:rsidP="005336DF">
            <w:pPr>
              <w:jc w:val="right"/>
              <w:rPr>
                <w:color w:val="000000"/>
                <w:lang w:eastAsia="ko-KR"/>
              </w:rPr>
            </w:pPr>
            <w:r w:rsidRPr="00AA35E0">
              <w:rPr>
                <w:color w:val="000000"/>
              </w:rPr>
              <w:t>0.105</w:t>
            </w:r>
          </w:p>
        </w:tc>
        <w:tc>
          <w:tcPr>
            <w:tcW w:w="1100" w:type="dxa"/>
            <w:tcBorders>
              <w:top w:val="nil"/>
              <w:left w:val="nil"/>
              <w:bottom w:val="nil"/>
              <w:right w:val="nil"/>
            </w:tcBorders>
            <w:shd w:val="clear" w:color="auto" w:fill="auto"/>
            <w:noWrap/>
            <w:vAlign w:val="bottom"/>
            <w:hideMark/>
          </w:tcPr>
          <w:p w14:paraId="10966F93" w14:textId="424F22A1" w:rsidR="005336DF" w:rsidRPr="00AA35E0" w:rsidRDefault="005336DF" w:rsidP="005336DF">
            <w:pPr>
              <w:jc w:val="right"/>
              <w:rPr>
                <w:color w:val="000000"/>
                <w:lang w:eastAsia="ko-KR"/>
              </w:rPr>
            </w:pPr>
            <w:r w:rsidRPr="00AA35E0">
              <w:rPr>
                <w:color w:val="000000"/>
              </w:rPr>
              <w:t>0.916</w:t>
            </w:r>
          </w:p>
        </w:tc>
      </w:tr>
      <w:tr w:rsidR="005336DF" w:rsidRPr="00AA35E0" w14:paraId="4303E9FD" w14:textId="77777777" w:rsidTr="00F92798">
        <w:trPr>
          <w:trHeight w:val="288"/>
        </w:trPr>
        <w:tc>
          <w:tcPr>
            <w:tcW w:w="1296" w:type="dxa"/>
            <w:tcBorders>
              <w:top w:val="nil"/>
              <w:left w:val="nil"/>
              <w:bottom w:val="nil"/>
              <w:right w:val="nil"/>
            </w:tcBorders>
            <w:shd w:val="clear" w:color="auto" w:fill="auto"/>
            <w:noWrap/>
            <w:vAlign w:val="center"/>
            <w:hideMark/>
          </w:tcPr>
          <w:p w14:paraId="060DBBB0" w14:textId="77777777" w:rsidR="005336DF" w:rsidRPr="00AA35E0" w:rsidRDefault="005336DF" w:rsidP="005336DF">
            <w:pPr>
              <w:jc w:val="center"/>
              <w:rPr>
                <w:b/>
                <w:bCs/>
                <w:color w:val="000000"/>
                <w:lang w:eastAsia="ko-KR"/>
              </w:rPr>
            </w:pPr>
            <w:r w:rsidRPr="00AA35E0">
              <w:rPr>
                <w:b/>
                <w:bCs/>
                <w:color w:val="000000"/>
                <w:lang w:eastAsia="ko-KR"/>
              </w:rPr>
              <w:t>MOM_IND</w:t>
            </w:r>
          </w:p>
        </w:tc>
        <w:tc>
          <w:tcPr>
            <w:tcW w:w="1100" w:type="dxa"/>
            <w:tcBorders>
              <w:top w:val="nil"/>
              <w:left w:val="single" w:sz="8" w:space="0" w:color="auto"/>
              <w:bottom w:val="nil"/>
              <w:right w:val="nil"/>
            </w:tcBorders>
            <w:shd w:val="clear" w:color="auto" w:fill="auto"/>
            <w:noWrap/>
            <w:vAlign w:val="bottom"/>
            <w:hideMark/>
          </w:tcPr>
          <w:p w14:paraId="57E611FF" w14:textId="5102139D" w:rsidR="005336DF" w:rsidRPr="00AA35E0" w:rsidRDefault="005336DF" w:rsidP="005336DF">
            <w:pPr>
              <w:jc w:val="right"/>
              <w:rPr>
                <w:color w:val="000000"/>
                <w:lang w:eastAsia="ko-KR"/>
              </w:rPr>
            </w:pPr>
            <w:r w:rsidRPr="00AA35E0">
              <w:rPr>
                <w:color w:val="000000"/>
              </w:rPr>
              <w:t>0.267</w:t>
            </w:r>
          </w:p>
        </w:tc>
        <w:tc>
          <w:tcPr>
            <w:tcW w:w="1100" w:type="dxa"/>
            <w:tcBorders>
              <w:top w:val="nil"/>
              <w:left w:val="nil"/>
              <w:bottom w:val="nil"/>
              <w:right w:val="nil"/>
            </w:tcBorders>
            <w:shd w:val="clear" w:color="auto" w:fill="auto"/>
            <w:noWrap/>
            <w:vAlign w:val="bottom"/>
            <w:hideMark/>
          </w:tcPr>
          <w:p w14:paraId="304D5348" w14:textId="30A007C5" w:rsidR="005336DF" w:rsidRPr="00AA35E0" w:rsidRDefault="005336DF" w:rsidP="005336DF">
            <w:pPr>
              <w:jc w:val="right"/>
              <w:rPr>
                <w:color w:val="000000"/>
                <w:lang w:eastAsia="ko-KR"/>
              </w:rPr>
            </w:pPr>
            <w:r w:rsidRPr="00AA35E0">
              <w:rPr>
                <w:color w:val="000000"/>
              </w:rPr>
              <w:t>0.062</w:t>
            </w:r>
          </w:p>
        </w:tc>
        <w:tc>
          <w:tcPr>
            <w:tcW w:w="1100" w:type="dxa"/>
            <w:tcBorders>
              <w:top w:val="nil"/>
              <w:left w:val="nil"/>
              <w:bottom w:val="nil"/>
              <w:right w:val="nil"/>
            </w:tcBorders>
            <w:shd w:val="clear" w:color="auto" w:fill="auto"/>
            <w:noWrap/>
            <w:vAlign w:val="bottom"/>
            <w:hideMark/>
          </w:tcPr>
          <w:p w14:paraId="2180BD5C" w14:textId="4AC55EFE" w:rsidR="005336DF" w:rsidRPr="003878B3" w:rsidRDefault="005336DF" w:rsidP="005336DF">
            <w:pPr>
              <w:jc w:val="right"/>
              <w:rPr>
                <w:b/>
                <w:color w:val="000000"/>
                <w:lang w:eastAsia="ko-KR"/>
              </w:rPr>
            </w:pPr>
            <w:r w:rsidRPr="003878B3">
              <w:rPr>
                <w:b/>
                <w:color w:val="000000"/>
              </w:rPr>
              <w:t>4.320</w:t>
            </w:r>
          </w:p>
        </w:tc>
        <w:tc>
          <w:tcPr>
            <w:tcW w:w="1100" w:type="dxa"/>
            <w:tcBorders>
              <w:top w:val="nil"/>
              <w:left w:val="nil"/>
              <w:bottom w:val="nil"/>
              <w:right w:val="nil"/>
            </w:tcBorders>
            <w:shd w:val="clear" w:color="auto" w:fill="auto"/>
            <w:noWrap/>
            <w:vAlign w:val="bottom"/>
            <w:hideMark/>
          </w:tcPr>
          <w:p w14:paraId="62ED41D8" w14:textId="1B4F5BB0" w:rsidR="005336DF" w:rsidRPr="00AA35E0" w:rsidRDefault="005336DF" w:rsidP="005336DF">
            <w:pPr>
              <w:jc w:val="right"/>
              <w:rPr>
                <w:color w:val="000000"/>
                <w:lang w:eastAsia="ko-KR"/>
              </w:rPr>
            </w:pPr>
            <w:r w:rsidRPr="00AA35E0">
              <w:rPr>
                <w:color w:val="000000"/>
              </w:rPr>
              <w:t>0.000</w:t>
            </w:r>
          </w:p>
        </w:tc>
      </w:tr>
    </w:tbl>
    <w:p w14:paraId="5F287E09" w14:textId="49E1DF4F" w:rsidR="00884444" w:rsidRPr="00AA35E0" w:rsidRDefault="00884444" w:rsidP="005336DF">
      <w:pPr>
        <w:pStyle w:val="ListParagraph"/>
        <w:ind w:left="1440" w:firstLineChars="0" w:firstLine="0"/>
        <w:rPr>
          <w:rFonts w:ascii="Times New Roman" w:hAnsi="Times New Roman" w:cs="Times New Roman"/>
          <w:sz w:val="24"/>
          <w:szCs w:val="24"/>
        </w:rPr>
      </w:pPr>
    </w:p>
    <w:p w14:paraId="2BDE1357" w14:textId="43A13CFF" w:rsidR="00884444" w:rsidRPr="00AA35E0" w:rsidRDefault="00564AF4" w:rsidP="00884444">
      <w:pPr>
        <w:pStyle w:val="ListParagraph"/>
        <w:numPr>
          <w:ilvl w:val="0"/>
          <w:numId w:val="11"/>
        </w:numPr>
        <w:ind w:firstLineChars="0"/>
        <w:rPr>
          <w:rFonts w:ascii="Times New Roman" w:hAnsi="Times New Roman" w:cs="Times New Roman"/>
          <w:sz w:val="24"/>
          <w:szCs w:val="24"/>
        </w:rPr>
      </w:pPr>
      <w:r w:rsidRPr="00AA35E0">
        <w:rPr>
          <w:rFonts w:ascii="Times New Roman" w:hAnsi="Times New Roman" w:cs="Times New Roman"/>
          <w:sz w:val="24"/>
          <w:szCs w:val="24"/>
        </w:rPr>
        <w:t>From (iii), we have observed</w:t>
      </w:r>
      <w:r w:rsidR="00F92798" w:rsidRPr="00AA35E0">
        <w:rPr>
          <w:rFonts w:ascii="Times New Roman" w:hAnsi="Times New Roman" w:cs="Times New Roman"/>
          <w:sz w:val="24"/>
          <w:szCs w:val="24"/>
        </w:rPr>
        <w:t xml:space="preserve"> that returns from industry momentum strategies and those from commodity momentum strategies have weak, but positive correlations. T</w:t>
      </w:r>
      <w:r w:rsidRPr="00AA35E0">
        <w:rPr>
          <w:rFonts w:ascii="Times New Roman" w:hAnsi="Times New Roman" w:cs="Times New Roman"/>
          <w:sz w:val="24"/>
          <w:szCs w:val="24"/>
        </w:rPr>
        <w:t>herefore, it is not surprising that the intercepts</w:t>
      </w:r>
      <w:r w:rsidR="003878B3">
        <w:rPr>
          <w:rFonts w:ascii="Times New Roman" w:hAnsi="Times New Roman" w:cs="Times New Roman"/>
          <w:sz w:val="24"/>
          <w:szCs w:val="24"/>
        </w:rPr>
        <w:t xml:space="preserve">, </w:t>
      </w:r>
      <m:oMath>
        <m:r>
          <m:rPr>
            <m:sty m:val="p"/>
          </m:rPr>
          <w:rPr>
            <w:rFonts w:ascii="Cambria Math" w:hAnsi="Cambria Math" w:cs="Times New Roman"/>
            <w:sz w:val="24"/>
            <w:szCs w:val="24"/>
          </w:rPr>
          <m:t>α</m:t>
        </m:r>
      </m:oMath>
      <w:r w:rsidR="003878B3">
        <w:rPr>
          <w:rFonts w:ascii="Times New Roman" w:hAnsi="Times New Roman" w:cs="Times New Roman"/>
          <w:sz w:val="24"/>
          <w:szCs w:val="24"/>
        </w:rPr>
        <w:t>,</w:t>
      </w:r>
      <w:r w:rsidRPr="00AA35E0">
        <w:rPr>
          <w:rFonts w:ascii="Times New Roman" w:hAnsi="Times New Roman" w:cs="Times New Roman"/>
          <w:sz w:val="24"/>
          <w:szCs w:val="24"/>
        </w:rPr>
        <w:t xml:space="preserve"> in (iv) and (v) are smaller in value when compared to what we hav</w:t>
      </w:r>
      <w:r w:rsidR="001375A7" w:rsidRPr="00AA35E0">
        <w:rPr>
          <w:rFonts w:ascii="Times New Roman" w:hAnsi="Times New Roman" w:cs="Times New Roman"/>
          <w:sz w:val="24"/>
          <w:szCs w:val="24"/>
        </w:rPr>
        <w:t>e observed in (e) and (g) (ii).</w:t>
      </w:r>
    </w:p>
    <w:p w14:paraId="1E387FD5" w14:textId="77777777" w:rsidR="00B524A8" w:rsidRPr="00AA35E0" w:rsidRDefault="00B524A8" w:rsidP="00B524A8">
      <w:pPr>
        <w:pStyle w:val="ListParagraph"/>
        <w:ind w:left="1440" w:firstLineChars="0" w:firstLine="0"/>
        <w:rPr>
          <w:rFonts w:ascii="Times New Roman" w:hAnsi="Times New Roman" w:cs="Times New Roman"/>
          <w:sz w:val="24"/>
          <w:szCs w:val="24"/>
        </w:rPr>
      </w:pPr>
    </w:p>
    <w:p w14:paraId="54D7F11A" w14:textId="788CD21C" w:rsidR="001375A7" w:rsidRPr="00AA35E0" w:rsidRDefault="001375A7" w:rsidP="001375A7">
      <w:pPr>
        <w:pStyle w:val="ListParagraph"/>
        <w:ind w:left="1440" w:firstLineChars="0" w:firstLine="0"/>
        <w:rPr>
          <w:rFonts w:ascii="Times New Roman" w:hAnsi="Times New Roman" w:cs="Times New Roman"/>
          <w:sz w:val="24"/>
          <w:szCs w:val="24"/>
        </w:rPr>
      </w:pPr>
      <w:r w:rsidRPr="00AA35E0">
        <w:rPr>
          <w:rFonts w:ascii="Times New Roman" w:hAnsi="Times New Roman" w:cs="Times New Roman"/>
          <w:sz w:val="24"/>
          <w:szCs w:val="24"/>
        </w:rPr>
        <w:t>Yet, it is somewhat surprising to see that the intercepts are still significant, both statistically and economically. As suggested by Moskowitz and Grinblatt (1999), excess returns from industry momentum should be a good proxy for the momentum risk. Although we do see a smaller value of the intercept, we still see a significantly meaningful number that cannot be explained by the model.</w:t>
      </w:r>
    </w:p>
    <w:p w14:paraId="4D65842B" w14:textId="77777777" w:rsidR="00B524A8" w:rsidRPr="00AA35E0" w:rsidRDefault="00B524A8" w:rsidP="001375A7">
      <w:pPr>
        <w:pStyle w:val="ListParagraph"/>
        <w:ind w:left="1440" w:firstLineChars="0" w:firstLine="0"/>
        <w:rPr>
          <w:rFonts w:ascii="Times New Roman" w:hAnsi="Times New Roman" w:cs="Times New Roman"/>
          <w:sz w:val="24"/>
          <w:szCs w:val="24"/>
        </w:rPr>
      </w:pPr>
    </w:p>
    <w:p w14:paraId="79864FCB" w14:textId="4A8C332C" w:rsidR="001375A7" w:rsidRPr="00AA35E0" w:rsidRDefault="001375A7" w:rsidP="001375A7">
      <w:pPr>
        <w:pStyle w:val="ListParagraph"/>
        <w:ind w:left="1440" w:firstLineChars="0" w:firstLine="0"/>
        <w:rPr>
          <w:rFonts w:ascii="Times New Roman" w:hAnsi="Times New Roman" w:cs="Times New Roman"/>
          <w:sz w:val="24"/>
          <w:szCs w:val="24"/>
        </w:rPr>
      </w:pPr>
      <w:r w:rsidRPr="00AA35E0">
        <w:rPr>
          <w:rFonts w:ascii="Times New Roman" w:hAnsi="Times New Roman" w:cs="Times New Roman"/>
          <w:sz w:val="24"/>
          <w:szCs w:val="24"/>
        </w:rPr>
        <w:t>The same can apply to commodity momentum strategies. It is quite reasonable to assume that it can serve as a momentum risk factor as well since 1) it is weakly, but still positively correlated with the industry momentum, and 2) it is reasonable to say that some commodities are closely connected to some industries.</w:t>
      </w:r>
    </w:p>
    <w:p w14:paraId="7F93F8BF" w14:textId="77777777" w:rsidR="00B524A8" w:rsidRPr="00AA35E0" w:rsidRDefault="00B524A8" w:rsidP="001375A7">
      <w:pPr>
        <w:pStyle w:val="ListParagraph"/>
        <w:ind w:left="1440" w:firstLineChars="0" w:firstLine="0"/>
        <w:rPr>
          <w:rFonts w:ascii="Times New Roman" w:hAnsi="Times New Roman" w:cs="Times New Roman"/>
          <w:sz w:val="24"/>
          <w:szCs w:val="24"/>
        </w:rPr>
      </w:pPr>
    </w:p>
    <w:p w14:paraId="38F80F9E" w14:textId="1EA2C95B" w:rsidR="001375A7" w:rsidRPr="00AA35E0" w:rsidRDefault="001375A7" w:rsidP="001375A7">
      <w:pPr>
        <w:pStyle w:val="ListParagraph"/>
        <w:ind w:left="1440" w:firstLineChars="0" w:firstLine="0"/>
        <w:rPr>
          <w:rFonts w:ascii="Times New Roman" w:hAnsi="Times New Roman" w:cs="Times New Roman"/>
          <w:sz w:val="24"/>
          <w:szCs w:val="24"/>
        </w:rPr>
      </w:pPr>
      <w:r w:rsidRPr="00AA35E0">
        <w:rPr>
          <w:rFonts w:ascii="Times New Roman" w:hAnsi="Times New Roman" w:cs="Times New Roman"/>
          <w:sz w:val="24"/>
          <w:szCs w:val="24"/>
        </w:rPr>
        <w:t>All of these may imply that both industry momentum and commodity momentum insufficiently explain the momentum risk in general.</w:t>
      </w:r>
    </w:p>
    <w:p w14:paraId="17B6AFA1" w14:textId="77777777" w:rsidR="005336DF" w:rsidRPr="00AA35E0" w:rsidRDefault="005336DF" w:rsidP="001375A7"/>
    <w:p w14:paraId="00E48DE4" w14:textId="609F0671" w:rsidR="00A5447F" w:rsidRPr="00AA35E0" w:rsidRDefault="00A5447F">
      <w:r w:rsidRPr="00AA35E0">
        <w:br w:type="page"/>
      </w:r>
    </w:p>
    <w:p w14:paraId="0C262427" w14:textId="51049B61" w:rsidR="002A1A8C" w:rsidRPr="002A1A8C" w:rsidRDefault="002A1A8C" w:rsidP="002A1A8C">
      <w:pPr>
        <w:pStyle w:val="ListParagraph"/>
        <w:numPr>
          <w:ilvl w:val="0"/>
          <w:numId w:val="3"/>
        </w:numPr>
        <w:ind w:firstLineChars="0"/>
        <w:rPr>
          <w:rFonts w:ascii="Times New Roman" w:hAnsi="Times New Roman" w:cs="Times New Roman"/>
          <w:sz w:val="24"/>
          <w:szCs w:val="24"/>
        </w:rPr>
      </w:pPr>
      <w:r w:rsidRPr="002A1A8C">
        <w:rPr>
          <w:rFonts w:ascii="Times New Roman" w:hAnsi="Times New Roman" w:cs="Times New Roman"/>
          <w:sz w:val="24"/>
          <w:szCs w:val="24"/>
        </w:rPr>
        <w:lastRenderedPageBreak/>
        <w:t>The table below summarizes the GRS tests on the momentum strategies on short, intermediate, and long terms, controlling for the size effects. According to the p-values, the model has difficulty explaining the momentum effects for all 3 horizons. The result for the long-term horizon – that the positive value for the average alpha cannot be explained – is surprising since momentum is believed to be a short-term phenomenon.</w:t>
      </w:r>
    </w:p>
    <w:p w14:paraId="2BB906D6" w14:textId="77777777" w:rsidR="002A1A8C" w:rsidRDefault="002A1A8C" w:rsidP="002A1A8C">
      <w:pPr>
        <w:pStyle w:val="ListParagraph"/>
        <w:ind w:left="720" w:firstLineChars="0" w:firstLine="0"/>
        <w:rPr>
          <w:rFonts w:ascii="Times New Roman" w:hAnsi="Times New Roman" w:cs="Times New Roman"/>
          <w:sz w:val="24"/>
          <w:szCs w:val="24"/>
        </w:rPr>
      </w:pPr>
    </w:p>
    <w:p w14:paraId="2E459D8C" w14:textId="24FB2ED0" w:rsidR="002A1A8C" w:rsidRPr="002A1A8C" w:rsidRDefault="002A1A8C" w:rsidP="002A1A8C">
      <w:pPr>
        <w:pStyle w:val="ListParagraph"/>
        <w:ind w:left="720" w:firstLineChars="0" w:firstLine="0"/>
        <w:rPr>
          <w:rFonts w:ascii="Times New Roman" w:hAnsi="Times New Roman" w:cs="Times New Roman"/>
          <w:sz w:val="24"/>
          <w:szCs w:val="24"/>
        </w:rPr>
      </w:pPr>
      <w:r w:rsidRPr="002A1A8C">
        <w:rPr>
          <w:rFonts w:ascii="Times New Roman" w:hAnsi="Times New Roman" w:cs="Times New Roman"/>
          <w:sz w:val="24"/>
          <w:szCs w:val="24"/>
        </w:rPr>
        <w:t xml:space="preserve">Yet, when conducting a GRS test, we need to consider how much variation can be explained by the model; the R-squared values of the regressions. If the model explains much, as what we have in our test results, even a small value of </w:t>
      </w:r>
      <w:r>
        <w:rPr>
          <w:rFonts w:ascii="Times New Roman" w:hAnsi="Times New Roman" w:cs="Times New Roman"/>
          <w:sz w:val="24"/>
          <w:szCs w:val="24"/>
        </w:rPr>
        <w:t xml:space="preserve">intercept </w:t>
      </w:r>
      <w:r w:rsidRPr="002A1A8C">
        <w:rPr>
          <w:rFonts w:ascii="Times New Roman" w:hAnsi="Times New Roman" w:cs="Times New Roman"/>
          <w:sz w:val="24"/>
          <w:szCs w:val="24"/>
        </w:rPr>
        <w:t xml:space="preserve">– the </w:t>
      </w:r>
      <w:r>
        <w:rPr>
          <w:rFonts w:ascii="Times New Roman" w:hAnsi="Times New Roman" w:cs="Times New Roman"/>
          <w:sz w:val="24"/>
          <w:szCs w:val="24"/>
        </w:rPr>
        <w:t>abnormal returns</w:t>
      </w:r>
      <w:r w:rsidRPr="002A1A8C">
        <w:rPr>
          <w:rFonts w:ascii="Times New Roman" w:hAnsi="Times New Roman" w:cs="Times New Roman"/>
          <w:sz w:val="24"/>
          <w:szCs w:val="24"/>
        </w:rPr>
        <w:t xml:space="preserve"> that cannot be explained</w:t>
      </w:r>
      <w:r>
        <w:rPr>
          <w:rFonts w:ascii="Times New Roman" w:hAnsi="Times New Roman" w:cs="Times New Roman"/>
          <w:sz w:val="24"/>
          <w:szCs w:val="24"/>
        </w:rPr>
        <w:t xml:space="preserve"> by the model</w:t>
      </w:r>
      <w:r w:rsidRPr="002A1A8C">
        <w:rPr>
          <w:rFonts w:ascii="Times New Roman" w:hAnsi="Times New Roman" w:cs="Times New Roman"/>
          <w:sz w:val="24"/>
          <w:szCs w:val="24"/>
        </w:rPr>
        <w:t xml:space="preserve"> – can lead to the rejection of the test.</w:t>
      </w:r>
    </w:p>
    <w:p w14:paraId="0C4C8357" w14:textId="77777777" w:rsidR="002A1A8C" w:rsidRDefault="002A1A8C" w:rsidP="002A1A8C">
      <w:pPr>
        <w:pStyle w:val="ListParagraph"/>
        <w:ind w:left="720" w:firstLineChars="0" w:firstLine="0"/>
        <w:rPr>
          <w:rFonts w:ascii="Times New Roman" w:hAnsi="Times New Roman" w:cs="Times New Roman"/>
          <w:sz w:val="24"/>
          <w:szCs w:val="24"/>
        </w:rPr>
      </w:pPr>
    </w:p>
    <w:p w14:paraId="3F2B4EC0" w14:textId="744814A2" w:rsidR="006E7AD8" w:rsidRPr="00AA35E0" w:rsidRDefault="002A1A8C" w:rsidP="002A1A8C">
      <w:pPr>
        <w:pStyle w:val="ListParagraph"/>
        <w:ind w:left="720" w:firstLineChars="0" w:firstLine="0"/>
        <w:rPr>
          <w:rFonts w:ascii="Times New Roman" w:hAnsi="Times New Roman" w:cs="Times New Roman"/>
          <w:sz w:val="24"/>
          <w:szCs w:val="24"/>
        </w:rPr>
      </w:pPr>
      <w:r w:rsidRPr="002A1A8C">
        <w:rPr>
          <w:rFonts w:ascii="Times New Roman" w:hAnsi="Times New Roman" w:cs="Times New Roman"/>
          <w:sz w:val="24"/>
          <w:szCs w:val="24"/>
        </w:rPr>
        <w:t>As we can see from the table below, the average values of the intercept and the absolute values of the intercepts are small with slightly significant number for the absolute value of the intercepts for the short-term. This is consistent with the way UMD factor is constructed: using the past 12 months skipping the first month.</w:t>
      </w:r>
    </w:p>
    <w:p w14:paraId="67F4503C" w14:textId="77777777" w:rsidR="006E7AD8" w:rsidRPr="00AA35E0" w:rsidRDefault="006E7AD8" w:rsidP="006E7AD8">
      <w:pPr>
        <w:pStyle w:val="ListParagraph"/>
        <w:ind w:left="720" w:firstLineChars="0" w:firstLine="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35"/>
        <w:gridCol w:w="1794"/>
        <w:gridCol w:w="1738"/>
        <w:gridCol w:w="1479"/>
        <w:gridCol w:w="1705"/>
        <w:gridCol w:w="1705"/>
      </w:tblGrid>
      <w:tr w:rsidR="001375A7" w:rsidRPr="00AA35E0" w14:paraId="17A8CAB1" w14:textId="1C6C7691" w:rsidTr="001375A7">
        <w:trPr>
          <w:jc w:val="center"/>
        </w:trPr>
        <w:tc>
          <w:tcPr>
            <w:tcW w:w="2035" w:type="dxa"/>
          </w:tcPr>
          <w:p w14:paraId="29A6C907" w14:textId="77777777" w:rsidR="001375A7" w:rsidRPr="00AA35E0" w:rsidRDefault="001375A7" w:rsidP="00F92798">
            <w:pPr>
              <w:pStyle w:val="ListParagraph"/>
              <w:ind w:firstLineChars="0" w:firstLine="0"/>
              <w:rPr>
                <w:rFonts w:ascii="Times New Roman" w:hAnsi="Times New Roman" w:cs="Times New Roman"/>
                <w:sz w:val="24"/>
                <w:szCs w:val="24"/>
              </w:rPr>
            </w:pPr>
          </w:p>
        </w:tc>
        <w:tc>
          <w:tcPr>
            <w:tcW w:w="1794" w:type="dxa"/>
          </w:tcPr>
          <w:p w14:paraId="7E7AE768" w14:textId="6F64ED07"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GRS F-statistic</w:t>
            </w:r>
          </w:p>
        </w:tc>
        <w:tc>
          <w:tcPr>
            <w:tcW w:w="1738" w:type="dxa"/>
          </w:tcPr>
          <w:p w14:paraId="4C0C8721" w14:textId="289DF598"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GRS p-value</w:t>
            </w:r>
          </w:p>
        </w:tc>
        <w:tc>
          <w:tcPr>
            <w:tcW w:w="1479" w:type="dxa"/>
          </w:tcPr>
          <w:p w14:paraId="5DE212D0" w14:textId="234AD4B2" w:rsidR="001375A7" w:rsidRPr="00AA35E0" w:rsidRDefault="001375A7" w:rsidP="001375A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 xml:space="preserve">Average </w:t>
            </w:r>
            <m:oMath>
              <m:r>
                <w:rPr>
                  <w:rFonts w:ascii="Cambria Math" w:hAnsi="Cambria Math" w:cs="Times New Roman"/>
                  <w:sz w:val="24"/>
                  <w:szCs w:val="24"/>
                </w:rPr>
                <m:t>α</m:t>
              </m:r>
            </m:oMath>
          </w:p>
        </w:tc>
        <w:tc>
          <w:tcPr>
            <w:tcW w:w="1705" w:type="dxa"/>
          </w:tcPr>
          <w:p w14:paraId="63FBEEC9" w14:textId="47CEA6CE"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 xml:space="preserve">Average </w:t>
            </w:r>
            <m:oMath>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oMath>
          </w:p>
        </w:tc>
        <w:tc>
          <w:tcPr>
            <w:tcW w:w="1705" w:type="dxa"/>
          </w:tcPr>
          <w:p w14:paraId="080D5286" w14:textId="5B8C8B58"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 xml:space="preserve">Average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p>
        </w:tc>
      </w:tr>
      <w:tr w:rsidR="001375A7" w:rsidRPr="00AA35E0" w14:paraId="5252B3FF" w14:textId="02239ADA" w:rsidTr="001375A7">
        <w:trPr>
          <w:jc w:val="center"/>
        </w:trPr>
        <w:tc>
          <w:tcPr>
            <w:tcW w:w="2035" w:type="dxa"/>
            <w:vAlign w:val="center"/>
          </w:tcPr>
          <w:p w14:paraId="4174A9A3" w14:textId="46FDDD3F"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Short-term 1-month past return sorted portfolios</w:t>
            </w:r>
          </w:p>
        </w:tc>
        <w:tc>
          <w:tcPr>
            <w:tcW w:w="1794" w:type="dxa"/>
            <w:vAlign w:val="center"/>
          </w:tcPr>
          <w:p w14:paraId="339CBB0A" w14:textId="3842206B"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9.4033</w:t>
            </w:r>
          </w:p>
        </w:tc>
        <w:tc>
          <w:tcPr>
            <w:tcW w:w="1738" w:type="dxa"/>
            <w:vAlign w:val="center"/>
          </w:tcPr>
          <w:p w14:paraId="1EC04CE5" w14:textId="48CCEB5D"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w:t>
            </w:r>
            <w:r w:rsidR="00A5447F" w:rsidRPr="00AA35E0">
              <w:rPr>
                <w:rFonts w:ascii="Times New Roman" w:hAnsi="Times New Roman" w:cs="Times New Roman"/>
                <w:sz w:val="24"/>
                <w:szCs w:val="24"/>
              </w:rPr>
              <w:t>.0000</w:t>
            </w:r>
          </w:p>
        </w:tc>
        <w:tc>
          <w:tcPr>
            <w:tcW w:w="1479" w:type="dxa"/>
            <w:vAlign w:val="center"/>
          </w:tcPr>
          <w:p w14:paraId="0FDB85FF" w14:textId="761A4EBD" w:rsidR="001375A7" w:rsidRPr="00AA35E0" w:rsidRDefault="001375A7" w:rsidP="001375A7">
            <w:pPr>
              <w:pStyle w:val="ListParagraph"/>
              <w:ind w:firstLineChars="0" w:firstLine="0"/>
              <w:jc w:val="center"/>
              <w:rPr>
                <w:rFonts w:ascii="Times New Roman" w:eastAsia="Malgun Gothic" w:hAnsi="Times New Roman" w:cs="Times New Roman"/>
                <w:sz w:val="24"/>
                <w:szCs w:val="24"/>
                <w:lang w:eastAsia="ko-KR"/>
              </w:rPr>
            </w:pPr>
            <w:r w:rsidRPr="00AA35E0">
              <w:rPr>
                <w:rFonts w:ascii="Times New Roman" w:eastAsia="Malgun Gothic" w:hAnsi="Times New Roman" w:cs="Times New Roman"/>
                <w:sz w:val="24"/>
                <w:szCs w:val="24"/>
                <w:lang w:eastAsia="ko-KR"/>
              </w:rPr>
              <w:t>0.0119</w:t>
            </w:r>
          </w:p>
        </w:tc>
        <w:tc>
          <w:tcPr>
            <w:tcW w:w="1705" w:type="dxa"/>
            <w:vAlign w:val="center"/>
          </w:tcPr>
          <w:p w14:paraId="6CBBD87A" w14:textId="44F89792" w:rsidR="001375A7" w:rsidRPr="00AA35E0" w:rsidRDefault="001375A7" w:rsidP="00836FFC">
            <w:pPr>
              <w:pStyle w:val="ListParagraph"/>
              <w:ind w:firstLineChars="0" w:firstLine="0"/>
              <w:jc w:val="center"/>
              <w:rPr>
                <w:rFonts w:ascii="Times New Roman" w:eastAsia="Malgun Gothic" w:hAnsi="Times New Roman" w:cs="Times New Roman"/>
                <w:sz w:val="24"/>
                <w:szCs w:val="24"/>
                <w:lang w:eastAsia="ko-KR"/>
              </w:rPr>
            </w:pPr>
            <w:r w:rsidRPr="00AA35E0">
              <w:rPr>
                <w:rFonts w:ascii="Times New Roman" w:eastAsia="Malgun Gothic" w:hAnsi="Times New Roman" w:cs="Times New Roman"/>
                <w:sz w:val="24"/>
                <w:szCs w:val="24"/>
                <w:lang w:eastAsia="ko-KR"/>
              </w:rPr>
              <w:t>0.3188</w:t>
            </w:r>
          </w:p>
        </w:tc>
        <w:tc>
          <w:tcPr>
            <w:tcW w:w="1705" w:type="dxa"/>
            <w:vAlign w:val="center"/>
          </w:tcPr>
          <w:p w14:paraId="2AF84B34" w14:textId="74A9D7FA"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0.8907</w:t>
            </w:r>
          </w:p>
        </w:tc>
      </w:tr>
      <w:tr w:rsidR="001375A7" w:rsidRPr="00AA35E0" w14:paraId="35675481" w14:textId="1269D19A" w:rsidTr="001375A7">
        <w:trPr>
          <w:jc w:val="center"/>
        </w:trPr>
        <w:tc>
          <w:tcPr>
            <w:tcW w:w="2035" w:type="dxa"/>
            <w:vAlign w:val="center"/>
          </w:tcPr>
          <w:p w14:paraId="49D0306D" w14:textId="2A95F417"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Intermediate-term 12-month past return sorted portfolios</w:t>
            </w:r>
          </w:p>
        </w:tc>
        <w:tc>
          <w:tcPr>
            <w:tcW w:w="1794" w:type="dxa"/>
            <w:vAlign w:val="center"/>
          </w:tcPr>
          <w:p w14:paraId="52DEA9ED" w14:textId="128AEFBE"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2.1449</w:t>
            </w:r>
          </w:p>
        </w:tc>
        <w:tc>
          <w:tcPr>
            <w:tcW w:w="1738" w:type="dxa"/>
            <w:vAlign w:val="center"/>
          </w:tcPr>
          <w:p w14:paraId="4329CB41" w14:textId="34C15752" w:rsidR="001375A7" w:rsidRPr="00AA35E0" w:rsidRDefault="00A5447F" w:rsidP="00A5447F">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0.0003</w:t>
            </w:r>
          </w:p>
        </w:tc>
        <w:tc>
          <w:tcPr>
            <w:tcW w:w="1479" w:type="dxa"/>
            <w:vAlign w:val="center"/>
          </w:tcPr>
          <w:p w14:paraId="4C73A6B7" w14:textId="6A4BAE68" w:rsidR="001375A7" w:rsidRPr="00AA35E0" w:rsidRDefault="001375A7" w:rsidP="001375A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0.0650</w:t>
            </w:r>
          </w:p>
        </w:tc>
        <w:tc>
          <w:tcPr>
            <w:tcW w:w="1705" w:type="dxa"/>
            <w:vAlign w:val="center"/>
          </w:tcPr>
          <w:p w14:paraId="5098810C" w14:textId="73B045D3" w:rsidR="001375A7" w:rsidRPr="00AA35E0" w:rsidRDefault="001375A7" w:rsidP="00836FFC">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0.1037</w:t>
            </w:r>
          </w:p>
        </w:tc>
        <w:tc>
          <w:tcPr>
            <w:tcW w:w="1705" w:type="dxa"/>
            <w:vAlign w:val="center"/>
          </w:tcPr>
          <w:p w14:paraId="009AC4E9" w14:textId="5D0585D3"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0.9166</w:t>
            </w:r>
          </w:p>
        </w:tc>
      </w:tr>
      <w:tr w:rsidR="001375A7" w:rsidRPr="00AA35E0" w14:paraId="09A4AFD0" w14:textId="4C80C874" w:rsidTr="001375A7">
        <w:trPr>
          <w:jc w:val="center"/>
        </w:trPr>
        <w:tc>
          <w:tcPr>
            <w:tcW w:w="2035" w:type="dxa"/>
            <w:vAlign w:val="center"/>
          </w:tcPr>
          <w:p w14:paraId="5821B52C" w14:textId="161B5B2A"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Long-term 60-month past return sorted portfolios</w:t>
            </w:r>
          </w:p>
        </w:tc>
        <w:tc>
          <w:tcPr>
            <w:tcW w:w="1794" w:type="dxa"/>
            <w:vAlign w:val="center"/>
          </w:tcPr>
          <w:p w14:paraId="203050CC" w14:textId="50B175E1"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2.2416</w:t>
            </w:r>
          </w:p>
        </w:tc>
        <w:tc>
          <w:tcPr>
            <w:tcW w:w="1738" w:type="dxa"/>
            <w:vAlign w:val="center"/>
          </w:tcPr>
          <w:p w14:paraId="78986697" w14:textId="3DBAF81B" w:rsidR="001375A7" w:rsidRPr="00AA35E0" w:rsidRDefault="00A5447F"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0.0005</w:t>
            </w:r>
          </w:p>
        </w:tc>
        <w:tc>
          <w:tcPr>
            <w:tcW w:w="1479" w:type="dxa"/>
            <w:vAlign w:val="center"/>
          </w:tcPr>
          <w:p w14:paraId="3357B809" w14:textId="746EAE75" w:rsidR="001375A7" w:rsidRPr="00AA35E0" w:rsidRDefault="001375A7" w:rsidP="001375A7">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0.0835</w:t>
            </w:r>
          </w:p>
        </w:tc>
        <w:tc>
          <w:tcPr>
            <w:tcW w:w="1705" w:type="dxa"/>
            <w:vAlign w:val="center"/>
          </w:tcPr>
          <w:p w14:paraId="3D636667" w14:textId="0BCF8616"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0.1061</w:t>
            </w:r>
          </w:p>
        </w:tc>
        <w:tc>
          <w:tcPr>
            <w:tcW w:w="1705" w:type="dxa"/>
            <w:vAlign w:val="center"/>
          </w:tcPr>
          <w:p w14:paraId="0396F19F" w14:textId="4CB0CBC9" w:rsidR="001375A7" w:rsidRPr="00AA35E0" w:rsidRDefault="001375A7" w:rsidP="00F92798">
            <w:pPr>
              <w:pStyle w:val="ListParagraph"/>
              <w:ind w:firstLineChars="0" w:firstLine="0"/>
              <w:jc w:val="center"/>
              <w:rPr>
                <w:rFonts w:ascii="Times New Roman" w:hAnsi="Times New Roman" w:cs="Times New Roman"/>
                <w:sz w:val="24"/>
                <w:szCs w:val="24"/>
              </w:rPr>
            </w:pPr>
            <w:r w:rsidRPr="00AA35E0">
              <w:rPr>
                <w:rFonts w:ascii="Times New Roman" w:hAnsi="Times New Roman" w:cs="Times New Roman"/>
                <w:sz w:val="24"/>
                <w:szCs w:val="24"/>
              </w:rPr>
              <w:t>0.8823</w:t>
            </w:r>
          </w:p>
        </w:tc>
      </w:tr>
    </w:tbl>
    <w:p w14:paraId="62215C28" w14:textId="77777777" w:rsidR="00E50EC7" w:rsidRPr="00AA35E0" w:rsidRDefault="00E50EC7" w:rsidP="00E50EC7">
      <w:pPr>
        <w:pStyle w:val="ListParagraph"/>
        <w:ind w:left="720" w:firstLineChars="0" w:firstLine="0"/>
        <w:rPr>
          <w:rFonts w:ascii="Times New Roman" w:hAnsi="Times New Roman" w:cs="Times New Roman"/>
          <w:sz w:val="24"/>
          <w:szCs w:val="24"/>
        </w:rPr>
      </w:pPr>
    </w:p>
    <w:p w14:paraId="6CDC7F3E" w14:textId="77777777" w:rsidR="00F612B1" w:rsidRDefault="00123264" w:rsidP="00F612B1">
      <w:pPr>
        <w:pStyle w:val="ListParagraph"/>
        <w:numPr>
          <w:ilvl w:val="0"/>
          <w:numId w:val="12"/>
        </w:numPr>
        <w:ind w:firstLineChars="0"/>
        <w:rPr>
          <w:rFonts w:ascii="Times New Roman" w:hAnsi="Times New Roman" w:cs="Times New Roman"/>
          <w:sz w:val="24"/>
          <w:szCs w:val="24"/>
        </w:rPr>
      </w:pPr>
      <w:r w:rsidRPr="00F612B1">
        <w:rPr>
          <w:rFonts w:ascii="Times New Roman" w:hAnsi="Times New Roman" w:cs="Times New Roman"/>
          <w:sz w:val="24"/>
          <w:szCs w:val="24"/>
        </w:rPr>
        <w:t xml:space="preserve">Question: after all of this, what have you learned about the cross-section of returns? What have you learned about momentum strategies in general? </w:t>
      </w:r>
    </w:p>
    <w:p w14:paraId="4109F964" w14:textId="77777777" w:rsidR="00F612B1" w:rsidRPr="00F612B1" w:rsidRDefault="00F612B1" w:rsidP="00F612B1">
      <w:pPr>
        <w:pStyle w:val="ListParagraph"/>
        <w:ind w:left="720" w:firstLineChars="0" w:firstLine="0"/>
        <w:rPr>
          <w:rFonts w:ascii="Times New Roman" w:hAnsi="Times New Roman" w:cs="Times New Roman"/>
          <w:sz w:val="24"/>
          <w:szCs w:val="24"/>
        </w:rPr>
      </w:pPr>
      <w:r w:rsidRPr="00F612B1">
        <w:rPr>
          <w:rFonts w:ascii="Times New Roman" w:hAnsi="Times New Roman" w:cs="Times New Roman"/>
          <w:sz w:val="24"/>
          <w:szCs w:val="24"/>
        </w:rPr>
        <w:t xml:space="preserve">Answer: </w:t>
      </w:r>
    </w:p>
    <w:p w14:paraId="105B9BB1" w14:textId="6A784247" w:rsidR="00123264" w:rsidRPr="00581EA1" w:rsidRDefault="00F612B1" w:rsidP="00581EA1">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Based on the previous questions, </w:t>
      </w:r>
      <w:r w:rsidRPr="00F612B1">
        <w:rPr>
          <w:rFonts w:ascii="Times New Roman" w:hAnsi="Times New Roman" w:cs="Times New Roman"/>
          <w:sz w:val="24"/>
          <w:szCs w:val="24"/>
        </w:rPr>
        <w:t>momentum effect is indeed an additional risk factor that cannot be explained by the traditional 3-factor model: the market, size, and value.</w:t>
      </w:r>
      <w:r>
        <w:rPr>
          <w:rFonts w:ascii="Times New Roman" w:hAnsi="Times New Roman" w:cs="Times New Roman"/>
          <w:sz w:val="24"/>
          <w:szCs w:val="24"/>
        </w:rPr>
        <w:t xml:space="preserve"> The decomposition of the momentum profits in the question (b) has shown they cannot be explained by the market risk. In addition, the results from question (e)</w:t>
      </w:r>
      <w:r w:rsidR="00581EA1">
        <w:rPr>
          <w:rFonts w:ascii="Times New Roman" w:hAnsi="Times New Roman" w:cs="Times New Roman"/>
          <w:sz w:val="24"/>
          <w:szCs w:val="24"/>
        </w:rPr>
        <w:t xml:space="preserve"> and </w:t>
      </w:r>
      <w:r>
        <w:rPr>
          <w:rFonts w:ascii="Times New Roman" w:hAnsi="Times New Roman" w:cs="Times New Roman"/>
          <w:sz w:val="24"/>
          <w:szCs w:val="24"/>
        </w:rPr>
        <w:t>(f)</w:t>
      </w:r>
      <w:r w:rsidR="00581EA1">
        <w:rPr>
          <w:rFonts w:ascii="Times New Roman" w:hAnsi="Times New Roman" w:cs="Times New Roman"/>
          <w:sz w:val="24"/>
          <w:szCs w:val="24"/>
        </w:rPr>
        <w:t xml:space="preserve"> </w:t>
      </w:r>
      <w:r w:rsidR="005F6AEE">
        <w:rPr>
          <w:rFonts w:ascii="Times New Roman" w:hAnsi="Times New Roman" w:cs="Times New Roman"/>
          <w:sz w:val="24"/>
          <w:szCs w:val="24"/>
        </w:rPr>
        <w:t>show the empirical evidence that</w:t>
      </w:r>
      <w:r>
        <w:rPr>
          <w:rFonts w:ascii="Times New Roman" w:hAnsi="Times New Roman" w:cs="Times New Roman"/>
          <w:sz w:val="24"/>
          <w:szCs w:val="24"/>
        </w:rPr>
        <w:t xml:space="preserve"> the 3-factor model also cannot explain the momentum.</w:t>
      </w:r>
      <w:r w:rsidRPr="00F612B1">
        <w:rPr>
          <w:rFonts w:ascii="Times New Roman" w:hAnsi="Times New Roman" w:cs="Times New Roman"/>
          <w:sz w:val="24"/>
          <w:szCs w:val="24"/>
        </w:rPr>
        <w:t xml:space="preserve"> Moreover, </w:t>
      </w:r>
      <w:r>
        <w:rPr>
          <w:rFonts w:ascii="Times New Roman" w:hAnsi="Times New Roman" w:cs="Times New Roman"/>
          <w:sz w:val="24"/>
          <w:szCs w:val="24"/>
        </w:rPr>
        <w:t xml:space="preserve">from the results of question (g), </w:t>
      </w:r>
      <w:r w:rsidRPr="00F612B1">
        <w:rPr>
          <w:rFonts w:ascii="Times New Roman" w:hAnsi="Times New Roman" w:cs="Times New Roman"/>
          <w:sz w:val="24"/>
          <w:szCs w:val="24"/>
        </w:rPr>
        <w:t xml:space="preserve">although relatively small in amount, the momentum we observe across different commodities and different industries do explain a part of the momentum </w:t>
      </w:r>
      <w:r w:rsidR="005F6AEE">
        <w:rPr>
          <w:rFonts w:ascii="Times New Roman" w:hAnsi="Times New Roman" w:cs="Times New Roman"/>
          <w:sz w:val="24"/>
          <w:szCs w:val="24"/>
        </w:rPr>
        <w:t>effect in general</w:t>
      </w:r>
      <w:r w:rsidRPr="00F612B1">
        <w:rPr>
          <w:rFonts w:ascii="Times New Roman" w:hAnsi="Times New Roman" w:cs="Times New Roman"/>
          <w:sz w:val="24"/>
          <w:szCs w:val="24"/>
        </w:rPr>
        <w:t>.</w:t>
      </w:r>
    </w:p>
    <w:sectPr w:rsidR="00123264" w:rsidRPr="00581EA1" w:rsidSect="00B93C7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6F85B" w14:textId="77777777" w:rsidR="003D1963" w:rsidRDefault="003D1963" w:rsidP="00792F55">
      <w:r>
        <w:separator/>
      </w:r>
    </w:p>
  </w:endnote>
  <w:endnote w:type="continuationSeparator" w:id="0">
    <w:p w14:paraId="39959E3E" w14:textId="77777777" w:rsidR="003D1963" w:rsidRDefault="003D1963" w:rsidP="0079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65F65" w14:textId="77777777" w:rsidR="003D1963" w:rsidRDefault="003D1963" w:rsidP="00792F55">
      <w:r>
        <w:separator/>
      </w:r>
    </w:p>
  </w:footnote>
  <w:footnote w:type="continuationSeparator" w:id="0">
    <w:p w14:paraId="095C69AF" w14:textId="77777777" w:rsidR="003D1963" w:rsidRDefault="003D1963" w:rsidP="00792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2215"/>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1814"/>
    <w:multiLevelType w:val="hybridMultilevel"/>
    <w:tmpl w:val="E14EEC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702903"/>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562A2"/>
    <w:multiLevelType w:val="hybridMultilevel"/>
    <w:tmpl w:val="78DE55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A00FDB"/>
    <w:multiLevelType w:val="hybridMultilevel"/>
    <w:tmpl w:val="30F22DFE"/>
    <w:lvl w:ilvl="0" w:tplc="7756A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6146F"/>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300F1"/>
    <w:multiLevelType w:val="hybridMultilevel"/>
    <w:tmpl w:val="2584B11E"/>
    <w:lvl w:ilvl="0" w:tplc="514ADD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A42A75"/>
    <w:multiLevelType w:val="hybridMultilevel"/>
    <w:tmpl w:val="6DE2E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4499A"/>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C2C39"/>
    <w:multiLevelType w:val="hybridMultilevel"/>
    <w:tmpl w:val="6C1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2498A"/>
    <w:multiLevelType w:val="hybridMultilevel"/>
    <w:tmpl w:val="F6A6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C92A18"/>
    <w:multiLevelType w:val="hybridMultilevel"/>
    <w:tmpl w:val="25129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9"/>
  </w:num>
  <w:num w:numId="6">
    <w:abstractNumId w:val="1"/>
  </w:num>
  <w:num w:numId="7">
    <w:abstractNumId w:val="11"/>
  </w:num>
  <w:num w:numId="8">
    <w:abstractNumId w:val="0"/>
  </w:num>
  <w:num w:numId="9">
    <w:abstractNumId w:val="5"/>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85"/>
    <w:rsid w:val="0001363E"/>
    <w:rsid w:val="00080274"/>
    <w:rsid w:val="000840DE"/>
    <w:rsid w:val="000948DC"/>
    <w:rsid w:val="000A5ADC"/>
    <w:rsid w:val="000B3EF6"/>
    <w:rsid w:val="000C5923"/>
    <w:rsid w:val="000D32DC"/>
    <w:rsid w:val="000E68B4"/>
    <w:rsid w:val="000E71F1"/>
    <w:rsid w:val="000F5879"/>
    <w:rsid w:val="00123264"/>
    <w:rsid w:val="00127A4C"/>
    <w:rsid w:val="001375A7"/>
    <w:rsid w:val="00147100"/>
    <w:rsid w:val="001704DD"/>
    <w:rsid w:val="0018257A"/>
    <w:rsid w:val="00184068"/>
    <w:rsid w:val="001A4000"/>
    <w:rsid w:val="001B3D77"/>
    <w:rsid w:val="001C1AC8"/>
    <w:rsid w:val="00231318"/>
    <w:rsid w:val="0024748F"/>
    <w:rsid w:val="00261B62"/>
    <w:rsid w:val="0026438F"/>
    <w:rsid w:val="0027131F"/>
    <w:rsid w:val="0028085C"/>
    <w:rsid w:val="002A1A8C"/>
    <w:rsid w:val="002A3436"/>
    <w:rsid w:val="002F7D83"/>
    <w:rsid w:val="0032000E"/>
    <w:rsid w:val="00322246"/>
    <w:rsid w:val="003530E4"/>
    <w:rsid w:val="00355F85"/>
    <w:rsid w:val="00361788"/>
    <w:rsid w:val="00363031"/>
    <w:rsid w:val="00372A88"/>
    <w:rsid w:val="00374647"/>
    <w:rsid w:val="003815A7"/>
    <w:rsid w:val="003829DF"/>
    <w:rsid w:val="0038686B"/>
    <w:rsid w:val="003878B3"/>
    <w:rsid w:val="003A1A71"/>
    <w:rsid w:val="003C02C4"/>
    <w:rsid w:val="003D1963"/>
    <w:rsid w:val="004060F7"/>
    <w:rsid w:val="004172F4"/>
    <w:rsid w:val="00420EC0"/>
    <w:rsid w:val="00433AAF"/>
    <w:rsid w:val="00434691"/>
    <w:rsid w:val="004418CF"/>
    <w:rsid w:val="004470FA"/>
    <w:rsid w:val="00453B77"/>
    <w:rsid w:val="0045791C"/>
    <w:rsid w:val="00457F2A"/>
    <w:rsid w:val="00460B08"/>
    <w:rsid w:val="00464375"/>
    <w:rsid w:val="004674B3"/>
    <w:rsid w:val="0049637B"/>
    <w:rsid w:val="004A36A4"/>
    <w:rsid w:val="004A5CF5"/>
    <w:rsid w:val="004B05E2"/>
    <w:rsid w:val="004B1A36"/>
    <w:rsid w:val="004B1FBC"/>
    <w:rsid w:val="004C5166"/>
    <w:rsid w:val="004C5D47"/>
    <w:rsid w:val="004D545F"/>
    <w:rsid w:val="004E6315"/>
    <w:rsid w:val="004F06E2"/>
    <w:rsid w:val="004F3F97"/>
    <w:rsid w:val="0050275F"/>
    <w:rsid w:val="00510D06"/>
    <w:rsid w:val="00511C3C"/>
    <w:rsid w:val="00511DAE"/>
    <w:rsid w:val="00515396"/>
    <w:rsid w:val="00526364"/>
    <w:rsid w:val="00530940"/>
    <w:rsid w:val="005309F6"/>
    <w:rsid w:val="005336DF"/>
    <w:rsid w:val="00561C81"/>
    <w:rsid w:val="00564AF4"/>
    <w:rsid w:val="005652F4"/>
    <w:rsid w:val="005808AD"/>
    <w:rsid w:val="00581EA1"/>
    <w:rsid w:val="005853F7"/>
    <w:rsid w:val="005858A5"/>
    <w:rsid w:val="005D4D9C"/>
    <w:rsid w:val="005D59CA"/>
    <w:rsid w:val="005D6A65"/>
    <w:rsid w:val="005E421F"/>
    <w:rsid w:val="005F54B0"/>
    <w:rsid w:val="005F6AEE"/>
    <w:rsid w:val="00600AA6"/>
    <w:rsid w:val="00620A3D"/>
    <w:rsid w:val="006243B2"/>
    <w:rsid w:val="0064718C"/>
    <w:rsid w:val="00657813"/>
    <w:rsid w:val="00662577"/>
    <w:rsid w:val="00663A38"/>
    <w:rsid w:val="0066650D"/>
    <w:rsid w:val="0067057C"/>
    <w:rsid w:val="00687A89"/>
    <w:rsid w:val="006A57EC"/>
    <w:rsid w:val="006C13A6"/>
    <w:rsid w:val="006C1500"/>
    <w:rsid w:val="006D6583"/>
    <w:rsid w:val="006D7CFD"/>
    <w:rsid w:val="006E24A3"/>
    <w:rsid w:val="006E7AD8"/>
    <w:rsid w:val="0070158B"/>
    <w:rsid w:val="0073587B"/>
    <w:rsid w:val="00736277"/>
    <w:rsid w:val="00741595"/>
    <w:rsid w:val="00743174"/>
    <w:rsid w:val="00745EBB"/>
    <w:rsid w:val="00752B70"/>
    <w:rsid w:val="00761546"/>
    <w:rsid w:val="00786A6E"/>
    <w:rsid w:val="00792F55"/>
    <w:rsid w:val="007B0F5D"/>
    <w:rsid w:val="007C4185"/>
    <w:rsid w:val="007C4244"/>
    <w:rsid w:val="007D2A25"/>
    <w:rsid w:val="007E5879"/>
    <w:rsid w:val="007F125B"/>
    <w:rsid w:val="00805469"/>
    <w:rsid w:val="00815035"/>
    <w:rsid w:val="008231AC"/>
    <w:rsid w:val="008321CD"/>
    <w:rsid w:val="00836FFC"/>
    <w:rsid w:val="0085085F"/>
    <w:rsid w:val="00852E92"/>
    <w:rsid w:val="008703C3"/>
    <w:rsid w:val="00884444"/>
    <w:rsid w:val="00890D35"/>
    <w:rsid w:val="008978DD"/>
    <w:rsid w:val="008E1523"/>
    <w:rsid w:val="008E152B"/>
    <w:rsid w:val="008E2E9F"/>
    <w:rsid w:val="00900599"/>
    <w:rsid w:val="00904DF1"/>
    <w:rsid w:val="009067E7"/>
    <w:rsid w:val="009143A9"/>
    <w:rsid w:val="00937743"/>
    <w:rsid w:val="00940474"/>
    <w:rsid w:val="00941B5C"/>
    <w:rsid w:val="009443D9"/>
    <w:rsid w:val="00944D1D"/>
    <w:rsid w:val="00967E49"/>
    <w:rsid w:val="00991709"/>
    <w:rsid w:val="00993106"/>
    <w:rsid w:val="00994F7E"/>
    <w:rsid w:val="009A554E"/>
    <w:rsid w:val="009A615D"/>
    <w:rsid w:val="009C74EA"/>
    <w:rsid w:val="009D4833"/>
    <w:rsid w:val="009D4B1C"/>
    <w:rsid w:val="00A00F1F"/>
    <w:rsid w:val="00A179DE"/>
    <w:rsid w:val="00A24CBB"/>
    <w:rsid w:val="00A2563D"/>
    <w:rsid w:val="00A26877"/>
    <w:rsid w:val="00A345DB"/>
    <w:rsid w:val="00A4372D"/>
    <w:rsid w:val="00A5447F"/>
    <w:rsid w:val="00A62AD5"/>
    <w:rsid w:val="00A67868"/>
    <w:rsid w:val="00A71266"/>
    <w:rsid w:val="00A72D37"/>
    <w:rsid w:val="00A92BD3"/>
    <w:rsid w:val="00AA35E0"/>
    <w:rsid w:val="00AB0F1C"/>
    <w:rsid w:val="00AD273D"/>
    <w:rsid w:val="00AE3729"/>
    <w:rsid w:val="00AF3818"/>
    <w:rsid w:val="00AF7A54"/>
    <w:rsid w:val="00AF7E0D"/>
    <w:rsid w:val="00B00755"/>
    <w:rsid w:val="00B231C9"/>
    <w:rsid w:val="00B51E11"/>
    <w:rsid w:val="00B524A8"/>
    <w:rsid w:val="00B55523"/>
    <w:rsid w:val="00B5690B"/>
    <w:rsid w:val="00B673AA"/>
    <w:rsid w:val="00B75517"/>
    <w:rsid w:val="00B8210C"/>
    <w:rsid w:val="00B92EA1"/>
    <w:rsid w:val="00B93C7C"/>
    <w:rsid w:val="00BD041B"/>
    <w:rsid w:val="00BD564E"/>
    <w:rsid w:val="00C31308"/>
    <w:rsid w:val="00C33B99"/>
    <w:rsid w:val="00C62EE1"/>
    <w:rsid w:val="00C72284"/>
    <w:rsid w:val="00C72467"/>
    <w:rsid w:val="00C80F2D"/>
    <w:rsid w:val="00C905A1"/>
    <w:rsid w:val="00CA019B"/>
    <w:rsid w:val="00CA7BF2"/>
    <w:rsid w:val="00CB330F"/>
    <w:rsid w:val="00D07E22"/>
    <w:rsid w:val="00D13BE5"/>
    <w:rsid w:val="00D34840"/>
    <w:rsid w:val="00D379E0"/>
    <w:rsid w:val="00D53AB7"/>
    <w:rsid w:val="00D71927"/>
    <w:rsid w:val="00D9779C"/>
    <w:rsid w:val="00DA5A36"/>
    <w:rsid w:val="00DC094F"/>
    <w:rsid w:val="00DD67DE"/>
    <w:rsid w:val="00DF2109"/>
    <w:rsid w:val="00DF6254"/>
    <w:rsid w:val="00E20A2A"/>
    <w:rsid w:val="00E342BC"/>
    <w:rsid w:val="00E50EC7"/>
    <w:rsid w:val="00E52E73"/>
    <w:rsid w:val="00E81ABD"/>
    <w:rsid w:val="00E9183F"/>
    <w:rsid w:val="00E94E11"/>
    <w:rsid w:val="00EB2B68"/>
    <w:rsid w:val="00EC6936"/>
    <w:rsid w:val="00EE07B3"/>
    <w:rsid w:val="00EE557D"/>
    <w:rsid w:val="00EE6734"/>
    <w:rsid w:val="00EF05F4"/>
    <w:rsid w:val="00EF4735"/>
    <w:rsid w:val="00F32635"/>
    <w:rsid w:val="00F612B1"/>
    <w:rsid w:val="00F719A3"/>
    <w:rsid w:val="00F92798"/>
    <w:rsid w:val="00FE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E6B7B"/>
  <w15:chartTrackingRefBased/>
  <w15:docId w15:val="{D96F1F2C-3A8D-4233-977C-01BE274A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A54"/>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F85"/>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TitleChar">
    <w:name w:val="Title Char"/>
    <w:basedOn w:val="DefaultParagraphFont"/>
    <w:link w:val="Title"/>
    <w:uiPriority w:val="10"/>
    <w:rsid w:val="00355F85"/>
    <w:rPr>
      <w:rFonts w:asciiTheme="majorHAnsi" w:eastAsiaTheme="majorEastAsia" w:hAnsiTheme="majorHAnsi" w:cstheme="majorBidi"/>
      <w:b/>
      <w:bCs/>
      <w:sz w:val="32"/>
      <w:szCs w:val="32"/>
    </w:rPr>
  </w:style>
  <w:style w:type="paragraph" w:styleId="ListParagraph">
    <w:name w:val="List Paragraph"/>
    <w:basedOn w:val="Normal"/>
    <w:uiPriority w:val="34"/>
    <w:qFormat/>
    <w:rsid w:val="00355F85"/>
    <w:pPr>
      <w:widowControl w:val="0"/>
      <w:ind w:firstLineChars="200" w:firstLine="420"/>
      <w:jc w:val="both"/>
    </w:pPr>
    <w:rPr>
      <w:rFonts w:asciiTheme="minorHAnsi" w:eastAsiaTheme="minorEastAsia" w:hAnsiTheme="minorHAnsi" w:cstheme="minorBidi"/>
      <w:kern w:val="2"/>
      <w:sz w:val="21"/>
      <w:szCs w:val="22"/>
    </w:rPr>
  </w:style>
  <w:style w:type="table" w:styleId="TableGrid">
    <w:name w:val="Table Grid"/>
    <w:basedOn w:val="TableNormal"/>
    <w:uiPriority w:val="39"/>
    <w:rsid w:val="00502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F55"/>
    <w:pPr>
      <w:widowControl w:val="0"/>
      <w:pBdr>
        <w:bottom w:val="single" w:sz="6" w:space="1" w:color="auto"/>
      </w:pBdr>
      <w:tabs>
        <w:tab w:val="center" w:pos="4513"/>
        <w:tab w:val="right" w:pos="902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792F55"/>
    <w:rPr>
      <w:sz w:val="18"/>
      <w:szCs w:val="18"/>
    </w:rPr>
  </w:style>
  <w:style w:type="paragraph" w:styleId="Footer">
    <w:name w:val="footer"/>
    <w:basedOn w:val="Normal"/>
    <w:link w:val="FooterChar"/>
    <w:uiPriority w:val="99"/>
    <w:unhideWhenUsed/>
    <w:rsid w:val="00792F55"/>
    <w:pPr>
      <w:widowControl w:val="0"/>
      <w:tabs>
        <w:tab w:val="center" w:pos="4513"/>
        <w:tab w:val="right" w:pos="902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792F55"/>
    <w:rPr>
      <w:sz w:val="18"/>
      <w:szCs w:val="18"/>
    </w:rPr>
  </w:style>
  <w:style w:type="character" w:styleId="PlaceholderText">
    <w:name w:val="Placeholder Text"/>
    <w:basedOn w:val="DefaultParagraphFont"/>
    <w:uiPriority w:val="99"/>
    <w:semiHidden/>
    <w:rsid w:val="004060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438">
      <w:bodyDiv w:val="1"/>
      <w:marLeft w:val="0"/>
      <w:marRight w:val="0"/>
      <w:marTop w:val="0"/>
      <w:marBottom w:val="0"/>
      <w:divBdr>
        <w:top w:val="none" w:sz="0" w:space="0" w:color="auto"/>
        <w:left w:val="none" w:sz="0" w:space="0" w:color="auto"/>
        <w:bottom w:val="none" w:sz="0" w:space="0" w:color="auto"/>
        <w:right w:val="none" w:sz="0" w:space="0" w:color="auto"/>
      </w:divBdr>
    </w:div>
    <w:div w:id="30963103">
      <w:bodyDiv w:val="1"/>
      <w:marLeft w:val="0"/>
      <w:marRight w:val="0"/>
      <w:marTop w:val="0"/>
      <w:marBottom w:val="0"/>
      <w:divBdr>
        <w:top w:val="none" w:sz="0" w:space="0" w:color="auto"/>
        <w:left w:val="none" w:sz="0" w:space="0" w:color="auto"/>
        <w:bottom w:val="none" w:sz="0" w:space="0" w:color="auto"/>
        <w:right w:val="none" w:sz="0" w:space="0" w:color="auto"/>
      </w:divBdr>
    </w:div>
    <w:div w:id="61800624">
      <w:bodyDiv w:val="1"/>
      <w:marLeft w:val="0"/>
      <w:marRight w:val="0"/>
      <w:marTop w:val="0"/>
      <w:marBottom w:val="0"/>
      <w:divBdr>
        <w:top w:val="none" w:sz="0" w:space="0" w:color="auto"/>
        <w:left w:val="none" w:sz="0" w:space="0" w:color="auto"/>
        <w:bottom w:val="none" w:sz="0" w:space="0" w:color="auto"/>
        <w:right w:val="none" w:sz="0" w:space="0" w:color="auto"/>
      </w:divBdr>
    </w:div>
    <w:div w:id="178934213">
      <w:bodyDiv w:val="1"/>
      <w:marLeft w:val="0"/>
      <w:marRight w:val="0"/>
      <w:marTop w:val="0"/>
      <w:marBottom w:val="0"/>
      <w:divBdr>
        <w:top w:val="none" w:sz="0" w:space="0" w:color="auto"/>
        <w:left w:val="none" w:sz="0" w:space="0" w:color="auto"/>
        <w:bottom w:val="none" w:sz="0" w:space="0" w:color="auto"/>
        <w:right w:val="none" w:sz="0" w:space="0" w:color="auto"/>
      </w:divBdr>
    </w:div>
    <w:div w:id="251083490">
      <w:bodyDiv w:val="1"/>
      <w:marLeft w:val="0"/>
      <w:marRight w:val="0"/>
      <w:marTop w:val="0"/>
      <w:marBottom w:val="0"/>
      <w:divBdr>
        <w:top w:val="none" w:sz="0" w:space="0" w:color="auto"/>
        <w:left w:val="none" w:sz="0" w:space="0" w:color="auto"/>
        <w:bottom w:val="none" w:sz="0" w:space="0" w:color="auto"/>
        <w:right w:val="none" w:sz="0" w:space="0" w:color="auto"/>
      </w:divBdr>
    </w:div>
    <w:div w:id="308945286">
      <w:bodyDiv w:val="1"/>
      <w:marLeft w:val="0"/>
      <w:marRight w:val="0"/>
      <w:marTop w:val="0"/>
      <w:marBottom w:val="0"/>
      <w:divBdr>
        <w:top w:val="none" w:sz="0" w:space="0" w:color="auto"/>
        <w:left w:val="none" w:sz="0" w:space="0" w:color="auto"/>
        <w:bottom w:val="none" w:sz="0" w:space="0" w:color="auto"/>
        <w:right w:val="none" w:sz="0" w:space="0" w:color="auto"/>
      </w:divBdr>
    </w:div>
    <w:div w:id="413479197">
      <w:bodyDiv w:val="1"/>
      <w:marLeft w:val="0"/>
      <w:marRight w:val="0"/>
      <w:marTop w:val="0"/>
      <w:marBottom w:val="0"/>
      <w:divBdr>
        <w:top w:val="none" w:sz="0" w:space="0" w:color="auto"/>
        <w:left w:val="none" w:sz="0" w:space="0" w:color="auto"/>
        <w:bottom w:val="none" w:sz="0" w:space="0" w:color="auto"/>
        <w:right w:val="none" w:sz="0" w:space="0" w:color="auto"/>
      </w:divBdr>
    </w:div>
    <w:div w:id="491214503">
      <w:bodyDiv w:val="1"/>
      <w:marLeft w:val="0"/>
      <w:marRight w:val="0"/>
      <w:marTop w:val="0"/>
      <w:marBottom w:val="0"/>
      <w:divBdr>
        <w:top w:val="none" w:sz="0" w:space="0" w:color="auto"/>
        <w:left w:val="none" w:sz="0" w:space="0" w:color="auto"/>
        <w:bottom w:val="none" w:sz="0" w:space="0" w:color="auto"/>
        <w:right w:val="none" w:sz="0" w:space="0" w:color="auto"/>
      </w:divBdr>
    </w:div>
    <w:div w:id="524366237">
      <w:bodyDiv w:val="1"/>
      <w:marLeft w:val="0"/>
      <w:marRight w:val="0"/>
      <w:marTop w:val="0"/>
      <w:marBottom w:val="0"/>
      <w:divBdr>
        <w:top w:val="none" w:sz="0" w:space="0" w:color="auto"/>
        <w:left w:val="none" w:sz="0" w:space="0" w:color="auto"/>
        <w:bottom w:val="none" w:sz="0" w:space="0" w:color="auto"/>
        <w:right w:val="none" w:sz="0" w:space="0" w:color="auto"/>
      </w:divBdr>
    </w:div>
    <w:div w:id="547836109">
      <w:bodyDiv w:val="1"/>
      <w:marLeft w:val="0"/>
      <w:marRight w:val="0"/>
      <w:marTop w:val="0"/>
      <w:marBottom w:val="0"/>
      <w:divBdr>
        <w:top w:val="none" w:sz="0" w:space="0" w:color="auto"/>
        <w:left w:val="none" w:sz="0" w:space="0" w:color="auto"/>
        <w:bottom w:val="none" w:sz="0" w:space="0" w:color="auto"/>
        <w:right w:val="none" w:sz="0" w:space="0" w:color="auto"/>
      </w:divBdr>
    </w:div>
    <w:div w:id="602228052">
      <w:bodyDiv w:val="1"/>
      <w:marLeft w:val="0"/>
      <w:marRight w:val="0"/>
      <w:marTop w:val="0"/>
      <w:marBottom w:val="0"/>
      <w:divBdr>
        <w:top w:val="none" w:sz="0" w:space="0" w:color="auto"/>
        <w:left w:val="none" w:sz="0" w:space="0" w:color="auto"/>
        <w:bottom w:val="none" w:sz="0" w:space="0" w:color="auto"/>
        <w:right w:val="none" w:sz="0" w:space="0" w:color="auto"/>
      </w:divBdr>
    </w:div>
    <w:div w:id="899638449">
      <w:bodyDiv w:val="1"/>
      <w:marLeft w:val="0"/>
      <w:marRight w:val="0"/>
      <w:marTop w:val="0"/>
      <w:marBottom w:val="0"/>
      <w:divBdr>
        <w:top w:val="none" w:sz="0" w:space="0" w:color="auto"/>
        <w:left w:val="none" w:sz="0" w:space="0" w:color="auto"/>
        <w:bottom w:val="none" w:sz="0" w:space="0" w:color="auto"/>
        <w:right w:val="none" w:sz="0" w:space="0" w:color="auto"/>
      </w:divBdr>
    </w:div>
    <w:div w:id="1034426493">
      <w:bodyDiv w:val="1"/>
      <w:marLeft w:val="0"/>
      <w:marRight w:val="0"/>
      <w:marTop w:val="0"/>
      <w:marBottom w:val="0"/>
      <w:divBdr>
        <w:top w:val="none" w:sz="0" w:space="0" w:color="auto"/>
        <w:left w:val="none" w:sz="0" w:space="0" w:color="auto"/>
        <w:bottom w:val="none" w:sz="0" w:space="0" w:color="auto"/>
        <w:right w:val="none" w:sz="0" w:space="0" w:color="auto"/>
      </w:divBdr>
    </w:div>
    <w:div w:id="1047950435">
      <w:bodyDiv w:val="1"/>
      <w:marLeft w:val="0"/>
      <w:marRight w:val="0"/>
      <w:marTop w:val="0"/>
      <w:marBottom w:val="0"/>
      <w:divBdr>
        <w:top w:val="none" w:sz="0" w:space="0" w:color="auto"/>
        <w:left w:val="none" w:sz="0" w:space="0" w:color="auto"/>
        <w:bottom w:val="none" w:sz="0" w:space="0" w:color="auto"/>
        <w:right w:val="none" w:sz="0" w:space="0" w:color="auto"/>
      </w:divBdr>
    </w:div>
    <w:div w:id="1062946045">
      <w:bodyDiv w:val="1"/>
      <w:marLeft w:val="0"/>
      <w:marRight w:val="0"/>
      <w:marTop w:val="0"/>
      <w:marBottom w:val="0"/>
      <w:divBdr>
        <w:top w:val="none" w:sz="0" w:space="0" w:color="auto"/>
        <w:left w:val="none" w:sz="0" w:space="0" w:color="auto"/>
        <w:bottom w:val="none" w:sz="0" w:space="0" w:color="auto"/>
        <w:right w:val="none" w:sz="0" w:space="0" w:color="auto"/>
      </w:divBdr>
    </w:div>
    <w:div w:id="1294602258">
      <w:bodyDiv w:val="1"/>
      <w:marLeft w:val="0"/>
      <w:marRight w:val="0"/>
      <w:marTop w:val="0"/>
      <w:marBottom w:val="0"/>
      <w:divBdr>
        <w:top w:val="none" w:sz="0" w:space="0" w:color="auto"/>
        <w:left w:val="none" w:sz="0" w:space="0" w:color="auto"/>
        <w:bottom w:val="none" w:sz="0" w:space="0" w:color="auto"/>
        <w:right w:val="none" w:sz="0" w:space="0" w:color="auto"/>
      </w:divBdr>
    </w:div>
    <w:div w:id="1427114999">
      <w:bodyDiv w:val="1"/>
      <w:marLeft w:val="0"/>
      <w:marRight w:val="0"/>
      <w:marTop w:val="0"/>
      <w:marBottom w:val="0"/>
      <w:divBdr>
        <w:top w:val="none" w:sz="0" w:space="0" w:color="auto"/>
        <w:left w:val="none" w:sz="0" w:space="0" w:color="auto"/>
        <w:bottom w:val="none" w:sz="0" w:space="0" w:color="auto"/>
        <w:right w:val="none" w:sz="0" w:space="0" w:color="auto"/>
      </w:divBdr>
    </w:div>
    <w:div w:id="1475756458">
      <w:bodyDiv w:val="1"/>
      <w:marLeft w:val="0"/>
      <w:marRight w:val="0"/>
      <w:marTop w:val="0"/>
      <w:marBottom w:val="0"/>
      <w:divBdr>
        <w:top w:val="none" w:sz="0" w:space="0" w:color="auto"/>
        <w:left w:val="none" w:sz="0" w:space="0" w:color="auto"/>
        <w:bottom w:val="none" w:sz="0" w:space="0" w:color="auto"/>
        <w:right w:val="none" w:sz="0" w:space="0" w:color="auto"/>
      </w:divBdr>
    </w:div>
    <w:div w:id="1560819996">
      <w:bodyDiv w:val="1"/>
      <w:marLeft w:val="0"/>
      <w:marRight w:val="0"/>
      <w:marTop w:val="0"/>
      <w:marBottom w:val="0"/>
      <w:divBdr>
        <w:top w:val="none" w:sz="0" w:space="0" w:color="auto"/>
        <w:left w:val="none" w:sz="0" w:space="0" w:color="auto"/>
        <w:bottom w:val="none" w:sz="0" w:space="0" w:color="auto"/>
        <w:right w:val="none" w:sz="0" w:space="0" w:color="auto"/>
      </w:divBdr>
    </w:div>
    <w:div w:id="1616139049">
      <w:bodyDiv w:val="1"/>
      <w:marLeft w:val="0"/>
      <w:marRight w:val="0"/>
      <w:marTop w:val="0"/>
      <w:marBottom w:val="0"/>
      <w:divBdr>
        <w:top w:val="none" w:sz="0" w:space="0" w:color="auto"/>
        <w:left w:val="none" w:sz="0" w:space="0" w:color="auto"/>
        <w:bottom w:val="none" w:sz="0" w:space="0" w:color="auto"/>
        <w:right w:val="none" w:sz="0" w:space="0" w:color="auto"/>
      </w:divBdr>
    </w:div>
    <w:div w:id="1640182339">
      <w:bodyDiv w:val="1"/>
      <w:marLeft w:val="0"/>
      <w:marRight w:val="0"/>
      <w:marTop w:val="0"/>
      <w:marBottom w:val="0"/>
      <w:divBdr>
        <w:top w:val="none" w:sz="0" w:space="0" w:color="auto"/>
        <w:left w:val="none" w:sz="0" w:space="0" w:color="auto"/>
        <w:bottom w:val="none" w:sz="0" w:space="0" w:color="auto"/>
        <w:right w:val="none" w:sz="0" w:space="0" w:color="auto"/>
      </w:divBdr>
    </w:div>
    <w:div w:id="1649018330">
      <w:bodyDiv w:val="1"/>
      <w:marLeft w:val="0"/>
      <w:marRight w:val="0"/>
      <w:marTop w:val="0"/>
      <w:marBottom w:val="0"/>
      <w:divBdr>
        <w:top w:val="none" w:sz="0" w:space="0" w:color="auto"/>
        <w:left w:val="none" w:sz="0" w:space="0" w:color="auto"/>
        <w:bottom w:val="none" w:sz="0" w:space="0" w:color="auto"/>
        <w:right w:val="none" w:sz="0" w:space="0" w:color="auto"/>
      </w:divBdr>
    </w:div>
    <w:div w:id="1665401270">
      <w:bodyDiv w:val="1"/>
      <w:marLeft w:val="0"/>
      <w:marRight w:val="0"/>
      <w:marTop w:val="0"/>
      <w:marBottom w:val="0"/>
      <w:divBdr>
        <w:top w:val="none" w:sz="0" w:space="0" w:color="auto"/>
        <w:left w:val="none" w:sz="0" w:space="0" w:color="auto"/>
        <w:bottom w:val="none" w:sz="0" w:space="0" w:color="auto"/>
        <w:right w:val="none" w:sz="0" w:space="0" w:color="auto"/>
      </w:divBdr>
    </w:div>
    <w:div w:id="1677153987">
      <w:bodyDiv w:val="1"/>
      <w:marLeft w:val="0"/>
      <w:marRight w:val="0"/>
      <w:marTop w:val="0"/>
      <w:marBottom w:val="0"/>
      <w:divBdr>
        <w:top w:val="none" w:sz="0" w:space="0" w:color="auto"/>
        <w:left w:val="none" w:sz="0" w:space="0" w:color="auto"/>
        <w:bottom w:val="none" w:sz="0" w:space="0" w:color="auto"/>
        <w:right w:val="none" w:sz="0" w:space="0" w:color="auto"/>
      </w:divBdr>
    </w:div>
    <w:div w:id="1735079100">
      <w:bodyDiv w:val="1"/>
      <w:marLeft w:val="0"/>
      <w:marRight w:val="0"/>
      <w:marTop w:val="0"/>
      <w:marBottom w:val="0"/>
      <w:divBdr>
        <w:top w:val="none" w:sz="0" w:space="0" w:color="auto"/>
        <w:left w:val="none" w:sz="0" w:space="0" w:color="auto"/>
        <w:bottom w:val="none" w:sz="0" w:space="0" w:color="auto"/>
        <w:right w:val="none" w:sz="0" w:space="0" w:color="auto"/>
      </w:divBdr>
    </w:div>
    <w:div w:id="1745373967">
      <w:bodyDiv w:val="1"/>
      <w:marLeft w:val="0"/>
      <w:marRight w:val="0"/>
      <w:marTop w:val="0"/>
      <w:marBottom w:val="0"/>
      <w:divBdr>
        <w:top w:val="none" w:sz="0" w:space="0" w:color="auto"/>
        <w:left w:val="none" w:sz="0" w:space="0" w:color="auto"/>
        <w:bottom w:val="none" w:sz="0" w:space="0" w:color="auto"/>
        <w:right w:val="none" w:sz="0" w:space="0" w:color="auto"/>
      </w:divBdr>
    </w:div>
    <w:div w:id="1804233209">
      <w:bodyDiv w:val="1"/>
      <w:marLeft w:val="0"/>
      <w:marRight w:val="0"/>
      <w:marTop w:val="0"/>
      <w:marBottom w:val="0"/>
      <w:divBdr>
        <w:top w:val="none" w:sz="0" w:space="0" w:color="auto"/>
        <w:left w:val="none" w:sz="0" w:space="0" w:color="auto"/>
        <w:bottom w:val="none" w:sz="0" w:space="0" w:color="auto"/>
        <w:right w:val="none" w:sz="0" w:space="0" w:color="auto"/>
      </w:divBdr>
    </w:div>
    <w:div w:id="1944607944">
      <w:bodyDiv w:val="1"/>
      <w:marLeft w:val="0"/>
      <w:marRight w:val="0"/>
      <w:marTop w:val="0"/>
      <w:marBottom w:val="0"/>
      <w:divBdr>
        <w:top w:val="none" w:sz="0" w:space="0" w:color="auto"/>
        <w:left w:val="none" w:sz="0" w:space="0" w:color="auto"/>
        <w:bottom w:val="none" w:sz="0" w:space="0" w:color="auto"/>
        <w:right w:val="none" w:sz="0" w:space="0" w:color="auto"/>
      </w:divBdr>
    </w:div>
    <w:div w:id="2020693218">
      <w:bodyDiv w:val="1"/>
      <w:marLeft w:val="0"/>
      <w:marRight w:val="0"/>
      <w:marTop w:val="0"/>
      <w:marBottom w:val="0"/>
      <w:divBdr>
        <w:top w:val="none" w:sz="0" w:space="0" w:color="auto"/>
        <w:left w:val="none" w:sz="0" w:space="0" w:color="auto"/>
        <w:bottom w:val="none" w:sz="0" w:space="0" w:color="auto"/>
        <w:right w:val="none" w:sz="0" w:space="0" w:color="auto"/>
      </w:divBdr>
    </w:div>
    <w:div w:id="21248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Xinyuan</dc:creator>
  <cp:keywords/>
  <dc:description/>
  <cp:lastModifiedBy>Boyang Pan</cp:lastModifiedBy>
  <cp:revision>14</cp:revision>
  <dcterms:created xsi:type="dcterms:W3CDTF">2019-03-06T17:20:00Z</dcterms:created>
  <dcterms:modified xsi:type="dcterms:W3CDTF">2019-03-06T20:35:00Z</dcterms:modified>
</cp:coreProperties>
</file>