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28A" w:rsidRDefault="0067728A" w:rsidP="0067728A">
      <w:pPr>
        <w:pStyle w:val="ListParagraph"/>
        <w:ind w:left="360"/>
        <w:jc w:val="both"/>
        <w:rPr>
          <w:rFonts w:ascii="Times New Roman" w:hAnsi="Times New Roman" w:cs="Times New Roman"/>
        </w:rPr>
      </w:pPr>
      <w:bookmarkStart w:id="0" w:name="_GoBack"/>
      <w:bookmarkEnd w:id="0"/>
    </w:p>
    <w:p w:rsidR="0067728A" w:rsidRDefault="0067728A" w:rsidP="0067728A">
      <w:pPr>
        <w:pStyle w:val="ListParagraph"/>
        <w:ind w:left="360"/>
        <w:jc w:val="both"/>
        <w:rPr>
          <w:rFonts w:ascii="Times New Roman" w:hAnsi="Times New Roman" w:cs="Times New Roman"/>
        </w:rPr>
      </w:pPr>
      <w:r>
        <w:rPr>
          <w:rFonts w:ascii="Times New Roman" w:hAnsi="Times New Roman" w:cs="Times New Roman"/>
        </w:rPr>
        <w:t xml:space="preserve"> </w:t>
      </w:r>
    </w:p>
    <w:p w:rsidR="00CE16E6" w:rsidRDefault="00CE16E6" w:rsidP="0067728A">
      <w:pPr>
        <w:pStyle w:val="ListParagraph"/>
        <w:numPr>
          <w:ilvl w:val="0"/>
          <w:numId w:val="1"/>
        </w:numPr>
        <w:jc w:val="both"/>
        <w:rPr>
          <w:rFonts w:ascii="Times New Roman" w:hAnsi="Times New Roman" w:cs="Times New Roman"/>
        </w:rPr>
      </w:pPr>
      <w:r>
        <w:rPr>
          <w:rFonts w:ascii="Times New Roman" w:hAnsi="Times New Roman" w:cs="Times New Roman"/>
        </w:rPr>
        <w:t>We use both t-tests and GRS tests to see if TSMOM and MOM capture each other.</w:t>
      </w:r>
      <w:r w:rsidR="0067728A">
        <w:rPr>
          <w:rFonts w:ascii="Times New Roman" w:hAnsi="Times New Roman" w:cs="Times New Roman"/>
        </w:rPr>
        <w:t xml:space="preserve"> </w:t>
      </w:r>
    </w:p>
    <w:p w:rsidR="00143560" w:rsidRDefault="00CE16E6" w:rsidP="00B810D4">
      <w:pPr>
        <w:pStyle w:val="ListParagraph"/>
        <w:numPr>
          <w:ilvl w:val="0"/>
          <w:numId w:val="2"/>
        </w:numPr>
        <w:jc w:val="both"/>
        <w:rPr>
          <w:rFonts w:ascii="Times New Roman" w:hAnsi="Times New Roman" w:cs="Times New Roman"/>
        </w:rPr>
      </w:pPr>
      <w:r>
        <w:rPr>
          <w:rFonts w:ascii="Times New Roman" w:hAnsi="Times New Roman" w:cs="Times New Roman"/>
        </w:rPr>
        <w:t xml:space="preserve"> we test if MOM captures TSMOM.</w:t>
      </w:r>
      <w:r w:rsidR="00572E00">
        <w:rPr>
          <w:rFonts w:ascii="Times New Roman" w:hAnsi="Times New Roman" w:cs="Times New Roman"/>
        </w:rPr>
        <w:t xml:space="preserve"> We run the time-series regressions of TSMOM factors in each market on all the 4 MOM factors.</w:t>
      </w:r>
    </w:p>
    <w:p w:rsidR="00143560" w:rsidRDefault="00143560" w:rsidP="00CE16E6">
      <w:pPr>
        <w:pStyle w:val="ListParagraph"/>
        <w:ind w:left="360"/>
        <w:jc w:val="both"/>
        <w:rPr>
          <w:rFonts w:ascii="Times New Roman" w:hAnsi="Times New Roman" w:cs="Times New Roman"/>
        </w:rPr>
      </w:pPr>
      <m:oMathPara>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FX,t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(i=EQ, FX, FI, and CM)</m:t>
          </m:r>
        </m:oMath>
      </m:oMathPara>
    </w:p>
    <w:p w:rsidR="00CE16E6" w:rsidRPr="008C2AAA" w:rsidRDefault="00A947BD" w:rsidP="008C2AAA">
      <w:pPr>
        <w:pStyle w:val="ListParagraph"/>
        <w:jc w:val="both"/>
        <w:rPr>
          <w:rFonts w:ascii="Times New Roman" w:hAnsi="Times New Roman" w:cs="Times New Roman"/>
          <w:lang w:eastAsia="zh-CN"/>
        </w:rPr>
      </w:pPr>
      <w:r>
        <w:rPr>
          <w:rFonts w:ascii="Times New Roman" w:hAnsi="Times New Roman" w:cs="Times New Roman"/>
        </w:rPr>
        <w:t xml:space="preserve">In terms of the alphas, none of the TSMOM factors are captured by the MOM factors since all 4 alphas are significantly different from 0. In addition, the GRS test strongly rejects the null hypothesis that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=0</m:t>
        </m:r>
      </m:oMath>
      <w:r>
        <w:rPr>
          <w:rFonts w:ascii="Times New Roman" w:hAnsi="Times New Roman" w:cs="Times New Roman"/>
        </w:rPr>
        <w:t xml:space="preserve">, so MOM factors do not capture TSMOM. In terms of betas, we can find some correlations between the MOM factors and TSMOM factors, the </w:t>
      </w:r>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m:t>
            </m:r>
          </m:sub>
        </m:sSub>
      </m:oMath>
      <w:r>
        <w:rPr>
          <w:rFonts w:ascii="Times New Roman" w:hAnsi="Times New Roman" w:cs="Times New Roman"/>
        </w:rPr>
        <w:t xml:space="preserve"> and </w:t>
      </w:r>
      <m:oMath>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m:t>
            </m:r>
          </m:sub>
        </m:sSub>
      </m:oMath>
      <w:r>
        <w:rPr>
          <w:rFonts w:ascii="Times New Roman" w:hAnsi="Times New Roman" w:cs="Times New Roman"/>
        </w:rPr>
        <w:t xml:space="preserve"> for example, which indicates MOM</w:t>
      </w:r>
      <w:r w:rsidR="00166211">
        <w:rPr>
          <w:rFonts w:ascii="Times New Roman" w:hAnsi="Times New Roman" w:cs="Times New Roman"/>
        </w:rPr>
        <w:t xml:space="preserve"> factors</w:t>
      </w:r>
      <w:r w:rsidR="00143560">
        <w:rPr>
          <w:rFonts w:ascii="Times New Roman" w:hAnsi="Times New Roman" w:cs="Times New Roman"/>
        </w:rPr>
        <w:t xml:space="preserve"> can partially explain the movement of TSMOM, but it does not fully capture the information in the TSMOM.</w:t>
      </w:r>
    </w:p>
    <w:p w:rsidR="00CE16E6" w:rsidRDefault="00A947BD" w:rsidP="00143560">
      <w:pPr>
        <w:pStyle w:val="ListParagraph"/>
        <w:ind w:left="360"/>
        <w:jc w:val="center"/>
        <w:rPr>
          <w:rFonts w:ascii="Times New Roman" w:hAnsi="Times New Roman" w:cs="Times New Roman"/>
        </w:rPr>
      </w:pPr>
      <w:r w:rsidRPr="00A947BD">
        <w:rPr>
          <w:rFonts w:ascii="Times New Roman" w:hAnsi="Times New Roman" w:cs="Times New Roman"/>
        </w:rPr>
        <w:drawing>
          <wp:inline distT="0" distB="0" distL="0" distR="0" wp14:anchorId="5BD0C8F6" wp14:editId="50CEFB52">
            <wp:extent cx="4048018" cy="200116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960" cy="2009046"/>
                    </a:xfrm>
                    <a:prstGeom prst="rect">
                      <a:avLst/>
                    </a:prstGeom>
                  </pic:spPr>
                </pic:pic>
              </a:graphicData>
            </a:graphic>
          </wp:inline>
        </w:drawing>
      </w:r>
    </w:p>
    <w:p w:rsidR="00143560" w:rsidRDefault="00CE16E6" w:rsidP="00B810D4">
      <w:pPr>
        <w:pStyle w:val="ListParagraph"/>
        <w:numPr>
          <w:ilvl w:val="0"/>
          <w:numId w:val="2"/>
        </w:numPr>
        <w:jc w:val="both"/>
        <w:rPr>
          <w:rFonts w:ascii="Times New Roman" w:hAnsi="Times New Roman" w:cs="Times New Roman"/>
        </w:rPr>
      </w:pPr>
      <w:r>
        <w:rPr>
          <w:rFonts w:ascii="Times New Roman" w:hAnsi="Times New Roman" w:cs="Times New Roman"/>
          <w:lang w:eastAsia="zh-CN"/>
        </w:rPr>
        <w:t xml:space="preserve"> we test if TSMOM captures MOM.</w:t>
      </w:r>
      <w:r w:rsidR="00143560">
        <w:rPr>
          <w:rFonts w:ascii="Times New Roman" w:hAnsi="Times New Roman" w:cs="Times New Roman"/>
          <w:lang w:eastAsia="zh-CN"/>
        </w:rPr>
        <w:t xml:space="preserve"> </w:t>
      </w:r>
      <w:r w:rsidR="00143560">
        <w:rPr>
          <w:rFonts w:ascii="Times New Roman" w:hAnsi="Times New Roman" w:cs="Times New Roman"/>
        </w:rPr>
        <w:t xml:space="preserve">We run the time-series regressions of MOM factors in each market on all the </w:t>
      </w:r>
      <w:r w:rsidR="00143560">
        <w:rPr>
          <w:rFonts w:ascii="Times New Roman" w:hAnsi="Times New Roman" w:cs="Times New Roman"/>
        </w:rPr>
        <w:t>TS</w:t>
      </w:r>
      <w:r w:rsidR="00143560">
        <w:rPr>
          <w:rFonts w:ascii="Times New Roman" w:hAnsi="Times New Roman" w:cs="Times New Roman"/>
        </w:rPr>
        <w:t>MOM factors.</w:t>
      </w:r>
    </w:p>
    <w:p w:rsidR="00143560" w:rsidRPr="00143560" w:rsidRDefault="00143560" w:rsidP="00143560">
      <w:pPr>
        <w:pStyle w:val="ListParagraph"/>
        <w:ind w:left="360"/>
        <w:jc w:val="both"/>
        <w:rPr>
          <w:rFonts w:ascii="Times New Roman" w:hAnsi="Times New Roman" w:cs="Times New Roman"/>
        </w:rPr>
      </w:pPr>
      <m:oMathPara>
        <m:oMath>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FX,t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TS</m:t>
          </m:r>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oMath>
      </m:oMathPara>
    </w:p>
    <w:p w:rsidR="00143560" w:rsidRDefault="00143560" w:rsidP="00143560">
      <w:pPr>
        <w:pStyle w:val="ListParagraph"/>
        <w:ind w:left="360"/>
        <w:jc w:val="both"/>
        <w:rPr>
          <w:rFonts w:ascii="Times New Roman" w:hAnsi="Times New Roman" w:cs="Times New Roman"/>
        </w:rPr>
      </w:pPr>
      <m:oMathPara>
        <m:oMath>
          <m:r>
            <w:rPr>
              <w:rFonts w:ascii="Cambria Math" w:hAnsi="Cambria Math" w:cs="Times New Roman"/>
            </w:rPr>
            <m:t>(i=EQ, FX, FI, and CM)</m:t>
          </m:r>
        </m:oMath>
      </m:oMathPara>
    </w:p>
    <w:p w:rsidR="00CE16E6" w:rsidRPr="00166211" w:rsidRDefault="00143560" w:rsidP="00166211">
      <w:pPr>
        <w:pStyle w:val="ListParagraph"/>
        <w:jc w:val="both"/>
        <w:rPr>
          <w:rFonts w:ascii="Times New Roman" w:hAnsi="Times New Roman" w:cs="Times New Roman"/>
          <w:lang w:eastAsia="zh-CN"/>
        </w:rPr>
      </w:pPr>
      <w:r>
        <w:rPr>
          <w:rFonts w:ascii="Times New Roman" w:hAnsi="Times New Roman" w:cs="Times New Roman"/>
        </w:rPr>
        <w:t xml:space="preserve">In terms of the alphas, </w:t>
      </w:r>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m:t>
            </m:r>
          </m:sub>
        </m:sSub>
      </m:oMath>
      <w:r>
        <w:rPr>
          <w:rFonts w:ascii="Times New Roman" w:hAnsi="Times New Roman" w:cs="Times New Roman"/>
        </w:rPr>
        <w:t xml:space="preserve">, </w:t>
      </w:r>
      <m:oMath>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FI</m:t>
            </m:r>
          </m:sub>
        </m:sSub>
      </m:oMath>
      <w:r>
        <w:rPr>
          <w:rFonts w:ascii="Times New Roman" w:hAnsi="Times New Roman" w:cs="Times New Roman"/>
        </w:rPr>
        <w:t>, and</w:t>
      </w:r>
      <m:oMath>
        <m:r>
          <w:rPr>
            <w:rFonts w:ascii="Cambria Math" w:hAnsi="Cambria Math" w:cs="Times New Roman"/>
          </w:rPr>
          <m:t xml:space="preserve"> </m:t>
        </m:r>
        <m:r>
          <w:rPr>
            <w:rFonts w:ascii="Cambria Math" w:hAnsi="Cambria Math" w:cs="Times New Roman"/>
          </w:rPr>
          <m:t>TSMO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m:t>
            </m:r>
          </m:sub>
        </m:sSub>
      </m:oMath>
      <w:r>
        <w:rPr>
          <w:rFonts w:ascii="Times New Roman" w:hAnsi="Times New Roman" w:cs="Times New Roman"/>
        </w:rPr>
        <w:t xml:space="preserve"> </w:t>
      </w:r>
      <w:r>
        <w:rPr>
          <w:rFonts w:ascii="Times New Roman" w:hAnsi="Times New Roman" w:cs="Times New Roman"/>
        </w:rPr>
        <w:t xml:space="preserve">factors are captured by the MOM factors since </w:t>
      </w:r>
      <w:r w:rsidR="00B810D4">
        <w:rPr>
          <w:rFonts w:ascii="Times New Roman" w:hAnsi="Times New Roman" w:cs="Times New Roman"/>
        </w:rPr>
        <w:t>these 3</w:t>
      </w:r>
      <w:r>
        <w:rPr>
          <w:rFonts w:ascii="Times New Roman" w:hAnsi="Times New Roman" w:cs="Times New Roman"/>
        </w:rPr>
        <w:t xml:space="preserve"> alphas are </w:t>
      </w:r>
      <w:r w:rsidR="00B810D4">
        <w:rPr>
          <w:rFonts w:ascii="Times New Roman" w:hAnsi="Times New Roman" w:cs="Times New Roman"/>
        </w:rPr>
        <w:t xml:space="preserve">not </w:t>
      </w:r>
      <w:r>
        <w:rPr>
          <w:rFonts w:ascii="Times New Roman" w:hAnsi="Times New Roman" w:cs="Times New Roman"/>
        </w:rPr>
        <w:t>significantly different from 0. In addition, the</w:t>
      </w:r>
      <w:r w:rsidR="00B810D4">
        <w:rPr>
          <w:rFonts w:ascii="Times New Roman" w:hAnsi="Times New Roman" w:cs="Times New Roman"/>
        </w:rPr>
        <w:t xml:space="preserve"> results of GRS test are on the border of </w:t>
      </w:r>
      <w:r w:rsidR="006C2B16">
        <w:rPr>
          <w:rFonts w:ascii="Times New Roman" w:hAnsi="Times New Roman" w:cs="Times New Roman"/>
        </w:rPr>
        <w:t>the 5% significance level</w:t>
      </w:r>
      <w:r w:rsidR="00B810D4">
        <w:rPr>
          <w:rFonts w:ascii="Times New Roman" w:hAnsi="Times New Roman" w:cs="Times New Roman"/>
        </w:rPr>
        <w:t xml:space="preserve">, which indicates </w:t>
      </w:r>
      <w:r>
        <w:rPr>
          <w:rFonts w:ascii="Times New Roman" w:hAnsi="Times New Roman" w:cs="Times New Roman"/>
        </w:rPr>
        <w:t xml:space="preserve">MOM factors </w:t>
      </w:r>
      <w:r w:rsidR="00B810D4">
        <w:rPr>
          <w:rFonts w:ascii="Times New Roman" w:hAnsi="Times New Roman" w:cs="Times New Roman"/>
        </w:rPr>
        <w:t>weakly</w:t>
      </w:r>
      <w:r>
        <w:rPr>
          <w:rFonts w:ascii="Times New Roman" w:hAnsi="Times New Roman" w:cs="Times New Roman"/>
        </w:rPr>
        <w:t xml:space="preserve"> capture TSMOM. In terms of betas, we can find</w:t>
      </w:r>
      <w:r w:rsidR="00B810D4">
        <w:rPr>
          <w:rFonts w:ascii="Times New Roman" w:hAnsi="Times New Roman" w:cs="Times New Roman"/>
          <w:lang w:eastAsia="zh-CN"/>
        </w:rPr>
        <w:t xml:space="preserve"> some MOM factors are closely related to the TSMOM factors, </w:t>
      </w:r>
      <m:oMath>
        <m:r>
          <w:rPr>
            <w:rFonts w:ascii="Cambria Math" w:hAnsi="Cambria Math" w:cs="Times New Roman"/>
          </w:rPr>
          <m:t>MO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EQ</m:t>
            </m:r>
          </m:sub>
        </m:sSub>
      </m:oMath>
      <w:r w:rsidR="00B810D4">
        <w:rPr>
          <w:rFonts w:ascii="Times New Roman" w:hAnsi="Times New Roman" w:cs="Times New Roman"/>
        </w:rPr>
        <w:t xml:space="preserve"> as an example</w:t>
      </w:r>
      <w:r>
        <w:rPr>
          <w:rFonts w:ascii="Times New Roman" w:hAnsi="Times New Roman" w:cs="Times New Roman"/>
        </w:rPr>
        <w:t>.</w:t>
      </w:r>
      <w:r w:rsidR="00166211">
        <w:rPr>
          <w:rFonts w:ascii="Times New Roman" w:hAnsi="Times New Roman" w:cs="Times New Roman"/>
        </w:rPr>
        <w:t xml:space="preserve"> Therefore, TSMOM factors have some ability in explaining the movement of MOM.</w:t>
      </w:r>
    </w:p>
    <w:p w:rsidR="00CE16E6" w:rsidRDefault="00CE16E6" w:rsidP="00143560">
      <w:pPr>
        <w:pStyle w:val="ListParagraph"/>
        <w:ind w:left="360"/>
        <w:jc w:val="center"/>
        <w:rPr>
          <w:rFonts w:ascii="Times New Roman" w:hAnsi="Times New Roman" w:cs="Times New Roman"/>
        </w:rPr>
      </w:pPr>
      <w:r w:rsidRPr="00CE16E6">
        <w:rPr>
          <w:rFonts w:ascii="Times New Roman" w:hAnsi="Times New Roman" w:cs="Times New Roman"/>
        </w:rPr>
        <w:drawing>
          <wp:inline distT="0" distB="0" distL="0" distR="0" wp14:anchorId="34DB326C" wp14:editId="647502E7">
            <wp:extent cx="4156578" cy="20548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527" cy="2066671"/>
                    </a:xfrm>
                    <a:prstGeom prst="rect">
                      <a:avLst/>
                    </a:prstGeom>
                  </pic:spPr>
                </pic:pic>
              </a:graphicData>
            </a:graphic>
          </wp:inline>
        </w:drawing>
      </w:r>
    </w:p>
    <w:p w:rsidR="0067728A" w:rsidRDefault="0067728A" w:rsidP="00390E6B">
      <w:pPr>
        <w:pStyle w:val="ListParagraph"/>
        <w:ind w:left="360"/>
        <w:jc w:val="both"/>
        <w:rPr>
          <w:rFonts w:ascii="Times New Roman" w:hAnsi="Times New Roman" w:cs="Times New Roman"/>
        </w:rPr>
      </w:pPr>
      <w:r>
        <w:rPr>
          <w:rFonts w:ascii="Times New Roman" w:hAnsi="Times New Roman" w:cs="Times New Roman"/>
        </w:rPr>
        <w:t xml:space="preserve"> </w:t>
      </w:r>
      <w:r w:rsidR="00166211">
        <w:rPr>
          <w:rFonts w:ascii="Times New Roman" w:hAnsi="Times New Roman" w:cs="Times New Roman"/>
        </w:rPr>
        <w:t>In conclusion, MOM factors do not capture TSMOM, but TSMOM do a better job in capturing MOM.</w:t>
      </w:r>
    </w:p>
    <w:p w:rsidR="00390E6B" w:rsidRPr="00390E6B" w:rsidRDefault="00390E6B" w:rsidP="00390E6B">
      <w:pPr>
        <w:pStyle w:val="ListParagraph"/>
        <w:ind w:left="360"/>
        <w:jc w:val="both"/>
        <w:rPr>
          <w:rFonts w:ascii="Times New Roman" w:hAnsi="Times New Roman" w:cs="Times New Roman"/>
        </w:rPr>
      </w:pPr>
    </w:p>
    <w:p w:rsidR="00390E6B" w:rsidRDefault="00390E6B">
      <w:pPr>
        <w:rPr>
          <w:rFonts w:ascii="Times New Roman" w:hAnsi="Times New Roman" w:cs="Times New Roman"/>
        </w:rPr>
      </w:pPr>
      <w:r>
        <w:rPr>
          <w:rFonts w:ascii="Times New Roman" w:hAnsi="Times New Roman" w:cs="Times New Roman"/>
        </w:rPr>
        <w:br w:type="page"/>
      </w:r>
    </w:p>
    <w:p w:rsidR="00390E6B" w:rsidRDefault="00390E6B" w:rsidP="0067728A">
      <w:pPr>
        <w:pStyle w:val="ListParagraph"/>
        <w:numPr>
          <w:ilvl w:val="0"/>
          <w:numId w:val="1"/>
        </w:numPr>
        <w:jc w:val="both"/>
        <w:rPr>
          <w:rFonts w:ascii="Times New Roman" w:hAnsi="Times New Roman" w:cs="Times New Roman" w:hint="eastAsia"/>
          <w:lang w:eastAsia="zh-CN"/>
        </w:rPr>
      </w:pPr>
      <w:r>
        <w:rPr>
          <w:rFonts w:ascii="Times New Roman" w:hAnsi="Times New Roman" w:cs="Times New Roman"/>
        </w:rPr>
        <w:lastRenderedPageBreak/>
        <w:t>The individual alphas and R-squares from each regression are given in the pictures below.</w:t>
      </w:r>
    </w:p>
    <w:p w:rsidR="00390E6B" w:rsidRDefault="00390E6B" w:rsidP="00390E6B">
      <w:pPr>
        <w:pStyle w:val="ListParagraph"/>
        <w:ind w:left="360"/>
        <w:jc w:val="both"/>
        <w:rPr>
          <w:rFonts w:ascii="Times New Roman" w:hAnsi="Times New Roman" w:cs="Times New Roman"/>
        </w:rPr>
      </w:pPr>
      <w:r w:rsidRPr="00390E6B">
        <w:rPr>
          <w:rFonts w:ascii="Times New Roman" w:hAnsi="Times New Roman" w:cs="Times New Roman"/>
        </w:rPr>
        <w:drawing>
          <wp:inline distT="0" distB="0" distL="0" distR="0" wp14:anchorId="2D288BF2" wp14:editId="44FCE340">
            <wp:extent cx="6858000" cy="658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584315"/>
                    </a:xfrm>
                    <a:prstGeom prst="rect">
                      <a:avLst/>
                    </a:prstGeom>
                  </pic:spPr>
                </pic:pic>
              </a:graphicData>
            </a:graphic>
          </wp:inline>
        </w:drawing>
      </w:r>
    </w:p>
    <w:p w:rsidR="00390E6B" w:rsidRDefault="00390E6B" w:rsidP="00390E6B">
      <w:pPr>
        <w:pStyle w:val="ListParagraph"/>
        <w:ind w:left="360"/>
        <w:jc w:val="both"/>
        <w:rPr>
          <w:rFonts w:ascii="Times New Roman" w:hAnsi="Times New Roman" w:cs="Times New Roman"/>
        </w:rPr>
      </w:pPr>
    </w:p>
    <w:p w:rsidR="00390E6B" w:rsidRDefault="00390E6B" w:rsidP="00390E6B">
      <w:pPr>
        <w:pStyle w:val="ListParagraph"/>
        <w:ind w:left="360"/>
        <w:jc w:val="both"/>
        <w:rPr>
          <w:rFonts w:ascii="Times New Roman" w:hAnsi="Times New Roman" w:cs="Times New Roman"/>
        </w:rPr>
      </w:pPr>
      <w:r w:rsidRPr="00390E6B">
        <w:rPr>
          <w:rFonts w:ascii="Times New Roman" w:hAnsi="Times New Roman" w:cs="Times New Roman"/>
        </w:rPr>
        <w:lastRenderedPageBreak/>
        <w:drawing>
          <wp:inline distT="0" distB="0" distL="0" distR="0" wp14:anchorId="04C45E18" wp14:editId="0830F991">
            <wp:extent cx="6858000" cy="562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20385"/>
                    </a:xfrm>
                    <a:prstGeom prst="rect">
                      <a:avLst/>
                    </a:prstGeom>
                  </pic:spPr>
                </pic:pic>
              </a:graphicData>
            </a:graphic>
          </wp:inline>
        </w:drawing>
      </w:r>
    </w:p>
    <w:p w:rsidR="00390E6B" w:rsidRDefault="00390E6B" w:rsidP="00390E6B">
      <w:pPr>
        <w:pStyle w:val="ListParagraph"/>
        <w:ind w:left="360"/>
        <w:jc w:val="both"/>
        <w:rPr>
          <w:rFonts w:ascii="Times New Roman" w:hAnsi="Times New Roman" w:cs="Times New Roman"/>
          <w:lang w:eastAsia="zh-CN"/>
        </w:rPr>
      </w:pPr>
      <w:r>
        <w:rPr>
          <w:rFonts w:ascii="Times New Roman" w:hAnsi="Times New Roman" w:cs="Times New Roman"/>
        </w:rPr>
        <w:t xml:space="preserve">The results of GRS tests are given below. </w:t>
      </w:r>
      <w:r w:rsidR="00A51A14">
        <w:rPr>
          <w:rFonts w:ascii="Times New Roman" w:hAnsi="Times New Roman" w:cs="Times New Roman"/>
        </w:rPr>
        <w:t>All the tests are rejected</w:t>
      </w:r>
      <w:r w:rsidR="00A51A14">
        <w:rPr>
          <w:rFonts w:ascii="Times New Roman" w:hAnsi="Times New Roman" w:cs="Times New Roman"/>
          <w:lang w:eastAsia="zh-CN"/>
        </w:rPr>
        <w:t xml:space="preserve">, which indicates all </w:t>
      </w:r>
      <w:r w:rsidR="00C8406C">
        <w:rPr>
          <w:rFonts w:ascii="Times New Roman" w:hAnsi="Times New Roman" w:cs="Times New Roman"/>
          <w:lang w:eastAsia="zh-CN"/>
        </w:rPr>
        <w:t>proxies of the market</w:t>
      </w:r>
      <w:r w:rsidR="004875B2">
        <w:rPr>
          <w:rFonts w:ascii="Times New Roman" w:hAnsi="Times New Roman" w:cs="Times New Roman"/>
          <w:lang w:eastAsia="zh-CN"/>
        </w:rPr>
        <w:t xml:space="preserve"> </w:t>
      </w:r>
      <w:r w:rsidR="001167FA">
        <w:rPr>
          <w:rFonts w:ascii="Times New Roman" w:hAnsi="Times New Roman" w:cs="Times New Roman"/>
          <w:lang w:eastAsia="zh-CN"/>
        </w:rPr>
        <w:t xml:space="preserve">are not </w:t>
      </w:r>
      <w:r w:rsidR="00096E39">
        <w:rPr>
          <w:rFonts w:ascii="Times New Roman" w:hAnsi="Times New Roman" w:cs="Times New Roman"/>
          <w:lang w:eastAsia="zh-CN"/>
        </w:rPr>
        <w:t>mean-variance efficient.</w:t>
      </w:r>
    </w:p>
    <w:p w:rsidR="0067728A" w:rsidRDefault="00390E6B" w:rsidP="00390E6B">
      <w:pPr>
        <w:pStyle w:val="ListParagraph"/>
        <w:ind w:left="360"/>
        <w:jc w:val="both"/>
        <w:rPr>
          <w:rFonts w:ascii="Times New Roman" w:hAnsi="Times New Roman" w:cs="Times New Roman"/>
        </w:rPr>
      </w:pPr>
      <w:r w:rsidRPr="00390E6B">
        <w:rPr>
          <w:rFonts w:ascii="Times New Roman" w:hAnsi="Times New Roman" w:cs="Times New Roman"/>
        </w:rPr>
        <w:drawing>
          <wp:inline distT="0" distB="0" distL="0" distR="0" wp14:anchorId="781FCE0C" wp14:editId="77C16C7E">
            <wp:extent cx="6858000" cy="490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90855"/>
                    </a:xfrm>
                    <a:prstGeom prst="rect">
                      <a:avLst/>
                    </a:prstGeom>
                  </pic:spPr>
                </pic:pic>
              </a:graphicData>
            </a:graphic>
          </wp:inline>
        </w:drawing>
      </w:r>
      <w:r w:rsidR="0067728A">
        <w:rPr>
          <w:rFonts w:ascii="Times New Roman" w:hAnsi="Times New Roman" w:cs="Times New Roman"/>
        </w:rPr>
        <w:t xml:space="preserve"> </w:t>
      </w:r>
    </w:p>
    <w:p w:rsidR="006B3832" w:rsidRDefault="00E756C4" w:rsidP="006B3832">
      <w:pPr>
        <w:pStyle w:val="ListParagraph"/>
        <w:numPr>
          <w:ilvl w:val="0"/>
          <w:numId w:val="4"/>
        </w:numPr>
        <w:jc w:val="both"/>
        <w:rPr>
          <w:rFonts w:ascii="Times New Roman" w:hAnsi="Times New Roman" w:cs="Times New Roman"/>
        </w:rPr>
      </w:pPr>
      <w:r>
        <w:rPr>
          <w:rFonts w:ascii="Times New Roman" w:hAnsi="Times New Roman" w:cs="Times New Roman"/>
        </w:rPr>
        <w:t>Based on the</w:t>
      </w:r>
      <w:r w:rsidR="006B3832">
        <w:rPr>
          <w:rFonts w:ascii="Times New Roman" w:hAnsi="Times New Roman" w:cs="Times New Roman"/>
        </w:rPr>
        <w:t xml:space="preserve"> alphas, R-squares and GRS tests, the model 7 is the one that performs the best at pricing the hedge fund portfolios. Firstly, by taking the average of the alphas’ t-statistics in each column, we conclude that the alpha of the model 7 is the least </w:t>
      </w:r>
      <w:r w:rsidR="008C2AAA">
        <w:rPr>
          <w:rFonts w:ascii="Times New Roman" w:hAnsi="Times New Roman" w:cs="Times New Roman"/>
        </w:rPr>
        <w:t xml:space="preserve">significantly </w:t>
      </w:r>
      <w:r w:rsidR="006B3832">
        <w:rPr>
          <w:rFonts w:ascii="Times New Roman" w:hAnsi="Times New Roman" w:cs="Times New Roman"/>
        </w:rPr>
        <w:t xml:space="preserve">different from 0 compared to other models. Second, the model 7 has the highest </w:t>
      </w:r>
      <w:r w:rsidR="008C2AAA">
        <w:rPr>
          <w:rFonts w:ascii="Times New Roman" w:hAnsi="Times New Roman" w:cs="Times New Roman"/>
        </w:rPr>
        <w:t xml:space="preserve">average </w:t>
      </w:r>
      <w:r w:rsidR="006B3832">
        <w:rPr>
          <w:rFonts w:ascii="Times New Roman" w:hAnsi="Times New Roman" w:cs="Times New Roman"/>
        </w:rPr>
        <w:t>adjusted R-squares. Third</w:t>
      </w:r>
      <w:r w:rsidR="008C2AAA">
        <w:rPr>
          <w:rFonts w:ascii="Times New Roman" w:hAnsi="Times New Roman" w:cs="Times New Roman"/>
        </w:rPr>
        <w:t>, the model 7 has the lowest GRS test statistics. Therefore, model 7 has the strongest explanatory power.</w:t>
      </w:r>
    </w:p>
    <w:p w:rsidR="006B3832" w:rsidRDefault="006B3832" w:rsidP="006B3832">
      <w:pPr>
        <w:pStyle w:val="ListParagraph"/>
        <w:ind w:left="1141"/>
        <w:jc w:val="both"/>
        <w:rPr>
          <w:rFonts w:ascii="Times New Roman" w:hAnsi="Times New Roman" w:cs="Times New Roman"/>
        </w:rPr>
      </w:pPr>
      <w:r w:rsidRPr="006B3832">
        <w:rPr>
          <w:rFonts w:ascii="Times New Roman" w:hAnsi="Times New Roman" w:cs="Times New Roman"/>
        </w:rPr>
        <w:drawing>
          <wp:inline distT="0" distB="0" distL="0" distR="0" wp14:anchorId="46E261F2" wp14:editId="023EEAF6">
            <wp:extent cx="6128535" cy="8829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637" cy="897817"/>
                    </a:xfrm>
                    <a:prstGeom prst="rect">
                      <a:avLst/>
                    </a:prstGeom>
                  </pic:spPr>
                </pic:pic>
              </a:graphicData>
            </a:graphic>
          </wp:inline>
        </w:drawing>
      </w:r>
    </w:p>
    <w:p w:rsidR="006B3832" w:rsidRDefault="008C2AAA" w:rsidP="006B3832">
      <w:pPr>
        <w:pStyle w:val="ListParagraph"/>
        <w:numPr>
          <w:ilvl w:val="0"/>
          <w:numId w:val="4"/>
        </w:numPr>
        <w:jc w:val="both"/>
        <w:rPr>
          <w:rFonts w:ascii="Times New Roman" w:hAnsi="Times New Roman" w:cs="Times New Roman"/>
        </w:rPr>
      </w:pPr>
      <w:r>
        <w:rPr>
          <w:rFonts w:ascii="Times New Roman" w:hAnsi="Times New Roman" w:cs="Times New Roman"/>
        </w:rPr>
        <w:t xml:space="preserve">The factors that the various hedge fund strategies load on are </w:t>
      </w:r>
      <w:r w:rsidR="00326FE9">
        <w:rPr>
          <w:rFonts w:ascii="Times New Roman" w:hAnsi="Times New Roman" w:cs="Times New Roman"/>
        </w:rPr>
        <w:t xml:space="preserve">RMRF, </w:t>
      </w:r>
      <w:proofErr w:type="gramStart"/>
      <w:r w:rsidR="00326FE9">
        <w:rPr>
          <w:rFonts w:ascii="Times New Roman" w:hAnsi="Times New Roman" w:cs="Times New Roman"/>
        </w:rPr>
        <w:t>RMRF(</w:t>
      </w:r>
      <w:proofErr w:type="gramEnd"/>
      <w:r w:rsidR="00326FE9">
        <w:rPr>
          <w:rFonts w:ascii="Times New Roman" w:hAnsi="Times New Roman" w:cs="Times New Roman"/>
        </w:rPr>
        <w:t xml:space="preserve">lag), </w:t>
      </w:r>
      <w:r w:rsidR="00C8406C">
        <w:rPr>
          <w:rFonts w:ascii="Times New Roman" w:hAnsi="Times New Roman" w:cs="Times New Roman"/>
        </w:rPr>
        <w:t xml:space="preserve">BAB and Carry. We compute the betas obtained from the regressions on model7. Since there are 20 hedge fund portfolios, we obtain 20 betas for each factor. Then, we do cross-sectional tests on these betas and found the factors we state above are significantly different from 0, so we conclude they are the factors that the hedge fund strategies load on. These </w:t>
      </w:r>
      <w:r w:rsidR="00716B04">
        <w:rPr>
          <w:rFonts w:ascii="Times New Roman" w:hAnsi="Times New Roman" w:cs="Times New Roman"/>
        </w:rPr>
        <w:t xml:space="preserve">don’t make sense to us, because the momentum and value factors have such low loadings. Considering the </w:t>
      </w:r>
      <w:r w:rsidR="00716B04">
        <w:rPr>
          <w:rFonts w:ascii="Times New Roman" w:hAnsi="Times New Roman" w:cs="Times New Roman"/>
        </w:rPr>
        <w:lastRenderedPageBreak/>
        <w:t>long history of momentum and value strategies, the hedge funds must have exploited these strategies for a long time, and their strategies should have a heavy loading in the momentum and value strategies. However, the results show that these factors are not heavily loaded on, which is a surprising fact.</w:t>
      </w:r>
    </w:p>
    <w:p w:rsidR="00326FE9" w:rsidRPr="006B3832" w:rsidRDefault="00326FE9" w:rsidP="00326FE9">
      <w:pPr>
        <w:pStyle w:val="ListParagraph"/>
        <w:ind w:left="1141"/>
        <w:jc w:val="both"/>
        <w:rPr>
          <w:rFonts w:ascii="Times New Roman" w:hAnsi="Times New Roman" w:cs="Times New Roman"/>
        </w:rPr>
      </w:pPr>
      <w:r w:rsidRPr="00326FE9">
        <w:rPr>
          <w:rFonts w:ascii="Times New Roman" w:hAnsi="Times New Roman" w:cs="Times New Roman"/>
        </w:rPr>
        <w:drawing>
          <wp:inline distT="0" distB="0" distL="0" distR="0" wp14:anchorId="49636286" wp14:editId="79D7F472">
            <wp:extent cx="6025793" cy="27785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427" cy="289413"/>
                    </a:xfrm>
                    <a:prstGeom prst="rect">
                      <a:avLst/>
                    </a:prstGeom>
                  </pic:spPr>
                </pic:pic>
              </a:graphicData>
            </a:graphic>
          </wp:inline>
        </w:drawing>
      </w:r>
    </w:p>
    <w:p w:rsidR="0067728A" w:rsidRDefault="00716B04" w:rsidP="00716B04">
      <w:pPr>
        <w:pStyle w:val="ListParagraph"/>
        <w:numPr>
          <w:ilvl w:val="0"/>
          <w:numId w:val="4"/>
        </w:numPr>
        <w:jc w:val="both"/>
        <w:rPr>
          <w:rFonts w:ascii="Times New Roman" w:hAnsi="Times New Roman" w:cs="Times New Roman"/>
        </w:rPr>
      </w:pPr>
      <w:r>
        <w:rPr>
          <w:rFonts w:ascii="Times New Roman" w:hAnsi="Times New Roman" w:cs="Times New Roman"/>
        </w:rPr>
        <w:t xml:space="preserve">The heavy loading on the lagged market return tells us that the hedge fund strategies are not significantly different from </w:t>
      </w:r>
      <w:r w:rsidR="00100220">
        <w:rPr>
          <w:rFonts w:ascii="Times New Roman" w:hAnsi="Times New Roman" w:cs="Times New Roman"/>
        </w:rPr>
        <w:t xml:space="preserve">the passive management. </w:t>
      </w:r>
    </w:p>
    <w:p w:rsidR="0067728A" w:rsidRDefault="0067728A" w:rsidP="0067728A">
      <w:pPr>
        <w:pStyle w:val="ListParagraph"/>
        <w:numPr>
          <w:ilvl w:val="0"/>
          <w:numId w:val="1"/>
        </w:numPr>
        <w:jc w:val="both"/>
        <w:rPr>
          <w:rFonts w:ascii="Times New Roman" w:hAnsi="Times New Roman" w:cs="Times New Roman"/>
        </w:rPr>
      </w:pPr>
      <w:r>
        <w:rPr>
          <w:rFonts w:ascii="Times New Roman" w:hAnsi="Times New Roman" w:cs="Times New Roman"/>
        </w:rPr>
        <w:t xml:space="preserve"> </w:t>
      </w:r>
    </w:p>
    <w:p w:rsidR="0067728A" w:rsidRDefault="0067728A" w:rsidP="0067728A">
      <w:pPr>
        <w:pStyle w:val="ListParagraph"/>
        <w:ind w:left="360"/>
        <w:jc w:val="both"/>
        <w:rPr>
          <w:rFonts w:ascii="Times New Roman" w:hAnsi="Times New Roman" w:cs="Times New Roman"/>
        </w:rPr>
      </w:pPr>
      <w:r>
        <w:rPr>
          <w:rFonts w:ascii="Times New Roman" w:hAnsi="Times New Roman" w:cs="Times New Roman"/>
        </w:rPr>
        <w:t xml:space="preserve"> </w:t>
      </w:r>
    </w:p>
    <w:p w:rsidR="0067728A" w:rsidRDefault="0067728A" w:rsidP="0067728A">
      <w:pPr>
        <w:pStyle w:val="ListParagraph"/>
        <w:ind w:left="360"/>
        <w:jc w:val="both"/>
        <w:rPr>
          <w:rFonts w:ascii="Times New Roman" w:hAnsi="Times New Roman" w:cs="Times New Roman"/>
        </w:rPr>
      </w:pPr>
      <w:r>
        <w:rPr>
          <w:rFonts w:ascii="Times New Roman" w:hAnsi="Times New Roman" w:cs="Times New Roman"/>
        </w:rPr>
        <w:t xml:space="preserve"> </w:t>
      </w:r>
    </w:p>
    <w:p w:rsidR="0067728A" w:rsidRPr="00390E6B" w:rsidRDefault="0067728A" w:rsidP="00390E6B">
      <w:pPr>
        <w:pStyle w:val="ListParagraph"/>
        <w:numPr>
          <w:ilvl w:val="0"/>
          <w:numId w:val="1"/>
        </w:numPr>
        <w:jc w:val="both"/>
        <w:rPr>
          <w:rFonts w:ascii="Times New Roman" w:hAnsi="Times New Roman" w:cs="Times New Roman"/>
        </w:rPr>
      </w:pPr>
      <w:r>
        <w:rPr>
          <w:rFonts w:ascii="Times New Roman" w:hAnsi="Times New Roman" w:cs="Times New Roman"/>
        </w:rPr>
        <w:t xml:space="preserve"> </w:t>
      </w:r>
    </w:p>
    <w:p w:rsidR="00DD25AE" w:rsidRDefault="00DD25AE" w:rsidP="00DD25AE">
      <w:pPr>
        <w:jc w:val="both"/>
        <w:rPr>
          <w:rFonts w:ascii="Times New Roman" w:hAnsi="Times New Roman" w:cs="Times New Roman"/>
        </w:rPr>
      </w:pPr>
    </w:p>
    <w:p w:rsidR="0067728A" w:rsidRPr="00DD25AE" w:rsidRDefault="0067728A" w:rsidP="00DD25AE">
      <w:pPr>
        <w:jc w:val="both"/>
        <w:rPr>
          <w:rFonts w:ascii="Times New Roman" w:hAnsi="Times New Roman" w:cs="Times New Roman"/>
        </w:rPr>
      </w:pPr>
    </w:p>
    <w:p w:rsidR="00481791" w:rsidRPr="00DD25AE" w:rsidRDefault="00481791" w:rsidP="00DD25AE">
      <w:pPr>
        <w:jc w:val="both"/>
        <w:rPr>
          <w:rFonts w:ascii="Times New Roman" w:hAnsi="Times New Roman" w:cs="Times New Roman"/>
        </w:rPr>
      </w:pPr>
    </w:p>
    <w:sectPr w:rsidR="00481791" w:rsidRPr="00DD25AE" w:rsidSect="00DD2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67096"/>
    <w:multiLevelType w:val="hybridMultilevel"/>
    <w:tmpl w:val="FC92166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 w15:restartNumberingAfterBreak="0">
    <w:nsid w:val="572F78BF"/>
    <w:multiLevelType w:val="hybridMultilevel"/>
    <w:tmpl w:val="1C2052C6"/>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 w15:restartNumberingAfterBreak="0">
    <w:nsid w:val="7341463B"/>
    <w:multiLevelType w:val="hybridMultilevel"/>
    <w:tmpl w:val="B372C06C"/>
    <w:lvl w:ilvl="0" w:tplc="ED86B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00C3A"/>
    <w:multiLevelType w:val="hybridMultilevel"/>
    <w:tmpl w:val="E1B8DD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54"/>
    <w:rsid w:val="000452CA"/>
    <w:rsid w:val="00096E39"/>
    <w:rsid w:val="000B03B0"/>
    <w:rsid w:val="00100220"/>
    <w:rsid w:val="001167FA"/>
    <w:rsid w:val="00143560"/>
    <w:rsid w:val="00166211"/>
    <w:rsid w:val="00326FE9"/>
    <w:rsid w:val="00390E6B"/>
    <w:rsid w:val="00481791"/>
    <w:rsid w:val="00484D71"/>
    <w:rsid w:val="004875B2"/>
    <w:rsid w:val="00572E00"/>
    <w:rsid w:val="0062760B"/>
    <w:rsid w:val="00675B2D"/>
    <w:rsid w:val="0067728A"/>
    <w:rsid w:val="006800E4"/>
    <w:rsid w:val="006B3832"/>
    <w:rsid w:val="006C2B16"/>
    <w:rsid w:val="00716B04"/>
    <w:rsid w:val="007E7F54"/>
    <w:rsid w:val="00890A4E"/>
    <w:rsid w:val="008C2AAA"/>
    <w:rsid w:val="00A5026F"/>
    <w:rsid w:val="00A51A14"/>
    <w:rsid w:val="00A947BD"/>
    <w:rsid w:val="00B74AC2"/>
    <w:rsid w:val="00B810D4"/>
    <w:rsid w:val="00C1090C"/>
    <w:rsid w:val="00C8406C"/>
    <w:rsid w:val="00CE16E6"/>
    <w:rsid w:val="00DD25AE"/>
    <w:rsid w:val="00E15218"/>
    <w:rsid w:val="00E756C4"/>
    <w:rsid w:val="00EF57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80F5"/>
  <w15:chartTrackingRefBased/>
  <w15:docId w15:val="{1B78FD53-A0F5-432E-AC13-B1299845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8A"/>
    <w:pPr>
      <w:ind w:left="720"/>
      <w:contextualSpacing/>
    </w:pPr>
  </w:style>
  <w:style w:type="paragraph" w:styleId="Title">
    <w:name w:val="Title"/>
    <w:basedOn w:val="Normal"/>
    <w:next w:val="Normal"/>
    <w:link w:val="TitleChar"/>
    <w:uiPriority w:val="10"/>
    <w:qFormat/>
    <w:rsid w:val="00B74AC2"/>
    <w:pPr>
      <w:widowControl w:val="0"/>
      <w:spacing w:before="240" w:after="60" w:line="240" w:lineRule="auto"/>
      <w:jc w:val="center"/>
      <w:outlineLvl w:val="0"/>
    </w:pPr>
    <w:rPr>
      <w:rFonts w:asciiTheme="majorHAnsi" w:eastAsiaTheme="majorEastAsia" w:hAnsiTheme="majorHAnsi" w:cstheme="majorBidi"/>
      <w:b/>
      <w:bCs/>
      <w:kern w:val="2"/>
      <w:sz w:val="32"/>
      <w:szCs w:val="32"/>
      <w:lang w:eastAsia="zh-CN"/>
    </w:rPr>
  </w:style>
  <w:style w:type="character" w:customStyle="1" w:styleId="TitleChar">
    <w:name w:val="Title Char"/>
    <w:basedOn w:val="DefaultParagraphFont"/>
    <w:link w:val="Title"/>
    <w:uiPriority w:val="10"/>
    <w:rsid w:val="00B74AC2"/>
    <w:rPr>
      <w:rFonts w:asciiTheme="majorHAnsi" w:eastAsiaTheme="majorEastAsia" w:hAnsiTheme="majorHAnsi" w:cstheme="majorBidi"/>
      <w:b/>
      <w:bCs/>
      <w:kern w:val="2"/>
      <w:sz w:val="32"/>
      <w:szCs w:val="32"/>
      <w:lang w:eastAsia="zh-CN"/>
    </w:rPr>
  </w:style>
  <w:style w:type="character" w:styleId="PlaceholderText">
    <w:name w:val="Placeholder Text"/>
    <w:basedOn w:val="DefaultParagraphFont"/>
    <w:uiPriority w:val="99"/>
    <w:semiHidden/>
    <w:rsid w:val="00572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2623">
      <w:bodyDiv w:val="1"/>
      <w:marLeft w:val="0"/>
      <w:marRight w:val="0"/>
      <w:marTop w:val="0"/>
      <w:marBottom w:val="0"/>
      <w:divBdr>
        <w:top w:val="none" w:sz="0" w:space="0" w:color="auto"/>
        <w:left w:val="none" w:sz="0" w:space="0" w:color="auto"/>
        <w:bottom w:val="none" w:sz="0" w:space="0" w:color="auto"/>
        <w:right w:val="none" w:sz="0" w:space="0" w:color="auto"/>
      </w:divBdr>
    </w:div>
    <w:div w:id="86774407">
      <w:bodyDiv w:val="1"/>
      <w:marLeft w:val="0"/>
      <w:marRight w:val="0"/>
      <w:marTop w:val="0"/>
      <w:marBottom w:val="0"/>
      <w:divBdr>
        <w:top w:val="none" w:sz="0" w:space="0" w:color="auto"/>
        <w:left w:val="none" w:sz="0" w:space="0" w:color="auto"/>
        <w:bottom w:val="none" w:sz="0" w:space="0" w:color="auto"/>
        <w:right w:val="none" w:sz="0" w:space="0" w:color="auto"/>
      </w:divBdr>
    </w:div>
    <w:div w:id="121460463">
      <w:bodyDiv w:val="1"/>
      <w:marLeft w:val="0"/>
      <w:marRight w:val="0"/>
      <w:marTop w:val="0"/>
      <w:marBottom w:val="0"/>
      <w:divBdr>
        <w:top w:val="none" w:sz="0" w:space="0" w:color="auto"/>
        <w:left w:val="none" w:sz="0" w:space="0" w:color="auto"/>
        <w:bottom w:val="none" w:sz="0" w:space="0" w:color="auto"/>
        <w:right w:val="none" w:sz="0" w:space="0" w:color="auto"/>
      </w:divBdr>
    </w:div>
    <w:div w:id="274602627">
      <w:bodyDiv w:val="1"/>
      <w:marLeft w:val="0"/>
      <w:marRight w:val="0"/>
      <w:marTop w:val="0"/>
      <w:marBottom w:val="0"/>
      <w:divBdr>
        <w:top w:val="none" w:sz="0" w:space="0" w:color="auto"/>
        <w:left w:val="none" w:sz="0" w:space="0" w:color="auto"/>
        <w:bottom w:val="none" w:sz="0" w:space="0" w:color="auto"/>
        <w:right w:val="none" w:sz="0" w:space="0" w:color="auto"/>
      </w:divBdr>
    </w:div>
    <w:div w:id="279536172">
      <w:bodyDiv w:val="1"/>
      <w:marLeft w:val="0"/>
      <w:marRight w:val="0"/>
      <w:marTop w:val="0"/>
      <w:marBottom w:val="0"/>
      <w:divBdr>
        <w:top w:val="none" w:sz="0" w:space="0" w:color="auto"/>
        <w:left w:val="none" w:sz="0" w:space="0" w:color="auto"/>
        <w:bottom w:val="none" w:sz="0" w:space="0" w:color="auto"/>
        <w:right w:val="none" w:sz="0" w:space="0" w:color="auto"/>
      </w:divBdr>
    </w:div>
    <w:div w:id="355812250">
      <w:bodyDiv w:val="1"/>
      <w:marLeft w:val="0"/>
      <w:marRight w:val="0"/>
      <w:marTop w:val="0"/>
      <w:marBottom w:val="0"/>
      <w:divBdr>
        <w:top w:val="none" w:sz="0" w:space="0" w:color="auto"/>
        <w:left w:val="none" w:sz="0" w:space="0" w:color="auto"/>
        <w:bottom w:val="none" w:sz="0" w:space="0" w:color="auto"/>
        <w:right w:val="none" w:sz="0" w:space="0" w:color="auto"/>
      </w:divBdr>
    </w:div>
    <w:div w:id="543564417">
      <w:bodyDiv w:val="1"/>
      <w:marLeft w:val="0"/>
      <w:marRight w:val="0"/>
      <w:marTop w:val="0"/>
      <w:marBottom w:val="0"/>
      <w:divBdr>
        <w:top w:val="none" w:sz="0" w:space="0" w:color="auto"/>
        <w:left w:val="none" w:sz="0" w:space="0" w:color="auto"/>
        <w:bottom w:val="none" w:sz="0" w:space="0" w:color="auto"/>
        <w:right w:val="none" w:sz="0" w:space="0" w:color="auto"/>
      </w:divBdr>
    </w:div>
    <w:div w:id="736435073">
      <w:bodyDiv w:val="1"/>
      <w:marLeft w:val="0"/>
      <w:marRight w:val="0"/>
      <w:marTop w:val="0"/>
      <w:marBottom w:val="0"/>
      <w:divBdr>
        <w:top w:val="none" w:sz="0" w:space="0" w:color="auto"/>
        <w:left w:val="none" w:sz="0" w:space="0" w:color="auto"/>
        <w:bottom w:val="none" w:sz="0" w:space="0" w:color="auto"/>
        <w:right w:val="none" w:sz="0" w:space="0" w:color="auto"/>
      </w:divBdr>
    </w:div>
    <w:div w:id="790978742">
      <w:bodyDiv w:val="1"/>
      <w:marLeft w:val="0"/>
      <w:marRight w:val="0"/>
      <w:marTop w:val="0"/>
      <w:marBottom w:val="0"/>
      <w:divBdr>
        <w:top w:val="none" w:sz="0" w:space="0" w:color="auto"/>
        <w:left w:val="none" w:sz="0" w:space="0" w:color="auto"/>
        <w:bottom w:val="none" w:sz="0" w:space="0" w:color="auto"/>
        <w:right w:val="none" w:sz="0" w:space="0" w:color="auto"/>
      </w:divBdr>
    </w:div>
    <w:div w:id="1006324590">
      <w:bodyDiv w:val="1"/>
      <w:marLeft w:val="0"/>
      <w:marRight w:val="0"/>
      <w:marTop w:val="0"/>
      <w:marBottom w:val="0"/>
      <w:divBdr>
        <w:top w:val="none" w:sz="0" w:space="0" w:color="auto"/>
        <w:left w:val="none" w:sz="0" w:space="0" w:color="auto"/>
        <w:bottom w:val="none" w:sz="0" w:space="0" w:color="auto"/>
        <w:right w:val="none" w:sz="0" w:space="0" w:color="auto"/>
      </w:divBdr>
    </w:div>
    <w:div w:id="1036852810">
      <w:bodyDiv w:val="1"/>
      <w:marLeft w:val="0"/>
      <w:marRight w:val="0"/>
      <w:marTop w:val="0"/>
      <w:marBottom w:val="0"/>
      <w:divBdr>
        <w:top w:val="none" w:sz="0" w:space="0" w:color="auto"/>
        <w:left w:val="none" w:sz="0" w:space="0" w:color="auto"/>
        <w:bottom w:val="none" w:sz="0" w:space="0" w:color="auto"/>
        <w:right w:val="none" w:sz="0" w:space="0" w:color="auto"/>
      </w:divBdr>
    </w:div>
    <w:div w:id="1058162532">
      <w:bodyDiv w:val="1"/>
      <w:marLeft w:val="0"/>
      <w:marRight w:val="0"/>
      <w:marTop w:val="0"/>
      <w:marBottom w:val="0"/>
      <w:divBdr>
        <w:top w:val="none" w:sz="0" w:space="0" w:color="auto"/>
        <w:left w:val="none" w:sz="0" w:space="0" w:color="auto"/>
        <w:bottom w:val="none" w:sz="0" w:space="0" w:color="auto"/>
        <w:right w:val="none" w:sz="0" w:space="0" w:color="auto"/>
      </w:divBdr>
    </w:div>
    <w:div w:id="1179780354">
      <w:bodyDiv w:val="1"/>
      <w:marLeft w:val="0"/>
      <w:marRight w:val="0"/>
      <w:marTop w:val="0"/>
      <w:marBottom w:val="0"/>
      <w:divBdr>
        <w:top w:val="none" w:sz="0" w:space="0" w:color="auto"/>
        <w:left w:val="none" w:sz="0" w:space="0" w:color="auto"/>
        <w:bottom w:val="none" w:sz="0" w:space="0" w:color="auto"/>
        <w:right w:val="none" w:sz="0" w:space="0" w:color="auto"/>
      </w:divBdr>
    </w:div>
    <w:div w:id="1387144353">
      <w:bodyDiv w:val="1"/>
      <w:marLeft w:val="0"/>
      <w:marRight w:val="0"/>
      <w:marTop w:val="0"/>
      <w:marBottom w:val="0"/>
      <w:divBdr>
        <w:top w:val="none" w:sz="0" w:space="0" w:color="auto"/>
        <w:left w:val="none" w:sz="0" w:space="0" w:color="auto"/>
        <w:bottom w:val="none" w:sz="0" w:space="0" w:color="auto"/>
        <w:right w:val="none" w:sz="0" w:space="0" w:color="auto"/>
      </w:divBdr>
    </w:div>
    <w:div w:id="1409617852">
      <w:bodyDiv w:val="1"/>
      <w:marLeft w:val="0"/>
      <w:marRight w:val="0"/>
      <w:marTop w:val="0"/>
      <w:marBottom w:val="0"/>
      <w:divBdr>
        <w:top w:val="none" w:sz="0" w:space="0" w:color="auto"/>
        <w:left w:val="none" w:sz="0" w:space="0" w:color="auto"/>
        <w:bottom w:val="none" w:sz="0" w:space="0" w:color="auto"/>
        <w:right w:val="none" w:sz="0" w:space="0" w:color="auto"/>
      </w:divBdr>
    </w:div>
    <w:div w:id="1792823269">
      <w:bodyDiv w:val="1"/>
      <w:marLeft w:val="0"/>
      <w:marRight w:val="0"/>
      <w:marTop w:val="0"/>
      <w:marBottom w:val="0"/>
      <w:divBdr>
        <w:top w:val="none" w:sz="0" w:space="0" w:color="auto"/>
        <w:left w:val="none" w:sz="0" w:space="0" w:color="auto"/>
        <w:bottom w:val="none" w:sz="0" w:space="0" w:color="auto"/>
        <w:right w:val="none" w:sz="0" w:space="0" w:color="auto"/>
      </w:divBdr>
    </w:div>
    <w:div w:id="1810129858">
      <w:bodyDiv w:val="1"/>
      <w:marLeft w:val="0"/>
      <w:marRight w:val="0"/>
      <w:marTop w:val="0"/>
      <w:marBottom w:val="0"/>
      <w:divBdr>
        <w:top w:val="none" w:sz="0" w:space="0" w:color="auto"/>
        <w:left w:val="none" w:sz="0" w:space="0" w:color="auto"/>
        <w:bottom w:val="none" w:sz="0" w:space="0" w:color="auto"/>
        <w:right w:val="none" w:sz="0" w:space="0" w:color="auto"/>
      </w:divBdr>
    </w:div>
    <w:div w:id="1970016598">
      <w:bodyDiv w:val="1"/>
      <w:marLeft w:val="0"/>
      <w:marRight w:val="0"/>
      <w:marTop w:val="0"/>
      <w:marBottom w:val="0"/>
      <w:divBdr>
        <w:top w:val="none" w:sz="0" w:space="0" w:color="auto"/>
        <w:left w:val="none" w:sz="0" w:space="0" w:color="auto"/>
        <w:bottom w:val="none" w:sz="0" w:space="0" w:color="auto"/>
        <w:right w:val="none" w:sz="0" w:space="0" w:color="auto"/>
      </w:divBdr>
    </w:div>
    <w:div w:id="2108456598">
      <w:bodyDiv w:val="1"/>
      <w:marLeft w:val="0"/>
      <w:marRight w:val="0"/>
      <w:marTop w:val="0"/>
      <w:marBottom w:val="0"/>
      <w:divBdr>
        <w:top w:val="none" w:sz="0" w:space="0" w:color="auto"/>
        <w:left w:val="none" w:sz="0" w:space="0" w:color="auto"/>
        <w:bottom w:val="none" w:sz="0" w:space="0" w:color="auto"/>
        <w:right w:val="none" w:sz="0" w:space="0" w:color="auto"/>
      </w:divBdr>
    </w:div>
    <w:div w:id="2115787609">
      <w:bodyDiv w:val="1"/>
      <w:marLeft w:val="0"/>
      <w:marRight w:val="0"/>
      <w:marTop w:val="0"/>
      <w:marBottom w:val="0"/>
      <w:divBdr>
        <w:top w:val="none" w:sz="0" w:space="0" w:color="auto"/>
        <w:left w:val="none" w:sz="0" w:space="0" w:color="auto"/>
        <w:bottom w:val="none" w:sz="0" w:space="0" w:color="auto"/>
        <w:right w:val="none" w:sz="0" w:space="0" w:color="auto"/>
      </w:divBdr>
    </w:div>
    <w:div w:id="21187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635A2-0A92-134A-8A52-D90A07E3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Lee</dc:creator>
  <cp:keywords/>
  <dc:description/>
  <cp:lastModifiedBy>Boyang Pan</cp:lastModifiedBy>
  <cp:revision>9</cp:revision>
  <dcterms:created xsi:type="dcterms:W3CDTF">2019-04-03T17:35:00Z</dcterms:created>
  <dcterms:modified xsi:type="dcterms:W3CDTF">2019-04-03T20:19:00Z</dcterms:modified>
</cp:coreProperties>
</file>