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04DA1" w14:textId="77777777" w:rsidR="00B74AC2" w:rsidRPr="00AD04A2" w:rsidRDefault="00B74AC2" w:rsidP="00B74AC2">
      <w:pPr>
        <w:pStyle w:val="Title"/>
        <w:rPr>
          <w:rFonts w:ascii="Times New Roman" w:hAnsi="Times New Roman" w:cs="Times New Roman"/>
          <w:sz w:val="28"/>
          <w:szCs w:val="28"/>
        </w:rPr>
      </w:pPr>
      <w:r w:rsidRPr="00AD04A2">
        <w:rPr>
          <w:rFonts w:ascii="Times New Roman" w:hAnsi="Times New Roman" w:cs="Times New Roman"/>
          <w:sz w:val="28"/>
          <w:szCs w:val="28"/>
        </w:rPr>
        <w:t xml:space="preserve">Problem Set </w:t>
      </w:r>
      <w:r w:rsidR="00AD04A2" w:rsidRPr="00AD04A2">
        <w:rPr>
          <w:rFonts w:ascii="Times New Roman" w:hAnsi="Times New Roman" w:cs="Times New Roman"/>
          <w:sz w:val="28"/>
          <w:szCs w:val="28"/>
        </w:rPr>
        <w:t>9</w:t>
      </w:r>
    </w:p>
    <w:p w14:paraId="270EDAC1" w14:textId="77777777" w:rsidR="00B74AC2" w:rsidRPr="00AD04A2" w:rsidRDefault="00B74AC2" w:rsidP="00B74AC2">
      <w:pPr>
        <w:jc w:val="right"/>
        <w:rPr>
          <w:rFonts w:ascii="Times New Roman" w:hAnsi="Times New Roman" w:cs="Times New Roman"/>
        </w:rPr>
      </w:pPr>
      <w:r w:rsidRPr="00AD04A2">
        <w:rPr>
          <w:rFonts w:ascii="Times New Roman" w:hAnsi="Times New Roman" w:cs="Times New Roman"/>
        </w:rPr>
        <w:t>SeungWha Lee</w:t>
      </w:r>
    </w:p>
    <w:p w14:paraId="7FEAD99A" w14:textId="77777777" w:rsidR="00B74AC2" w:rsidRPr="00AD04A2" w:rsidRDefault="00B74AC2" w:rsidP="00B74AC2">
      <w:pPr>
        <w:jc w:val="right"/>
        <w:rPr>
          <w:rFonts w:ascii="Times New Roman" w:hAnsi="Times New Roman" w:cs="Times New Roman"/>
        </w:rPr>
      </w:pPr>
      <w:r w:rsidRPr="00AD04A2">
        <w:rPr>
          <w:rFonts w:ascii="Times New Roman" w:hAnsi="Times New Roman" w:cs="Times New Roman"/>
        </w:rPr>
        <w:t>Xinyuan Meng</w:t>
      </w:r>
    </w:p>
    <w:p w14:paraId="6FAAF1B0" w14:textId="77777777" w:rsidR="00B74AC2" w:rsidRPr="00AD04A2" w:rsidRDefault="00B74AC2" w:rsidP="00B74AC2">
      <w:pPr>
        <w:jc w:val="right"/>
        <w:rPr>
          <w:rFonts w:ascii="Times New Roman" w:hAnsi="Times New Roman" w:cs="Times New Roman"/>
        </w:rPr>
      </w:pPr>
      <w:proofErr w:type="spellStart"/>
      <w:r w:rsidRPr="00AD04A2">
        <w:rPr>
          <w:rFonts w:ascii="Times New Roman" w:hAnsi="Times New Roman" w:cs="Times New Roman"/>
        </w:rPr>
        <w:t>Boyang</w:t>
      </w:r>
      <w:proofErr w:type="spellEnd"/>
      <w:r w:rsidRPr="00AD04A2">
        <w:rPr>
          <w:rFonts w:ascii="Times New Roman" w:hAnsi="Times New Roman" w:cs="Times New Roman"/>
        </w:rPr>
        <w:t xml:space="preserve"> Pan</w:t>
      </w:r>
    </w:p>
    <w:p w14:paraId="0C06D9D0" w14:textId="77777777" w:rsidR="000302C0" w:rsidRPr="00AD04A2" w:rsidRDefault="000302C0" w:rsidP="000302C0">
      <w:pPr>
        <w:pStyle w:val="ListParagraph"/>
        <w:numPr>
          <w:ilvl w:val="0"/>
          <w:numId w:val="5"/>
        </w:numPr>
        <w:jc w:val="both"/>
        <w:rPr>
          <w:rFonts w:ascii="Times New Roman" w:hAnsi="Times New Roman" w:cs="Times New Roman"/>
        </w:rPr>
      </w:pPr>
      <w:r w:rsidRPr="001949AE">
        <w:rPr>
          <w:rFonts w:ascii="Times New Roman" w:hAnsi="Times New Roman" w:cs="Times New Roman"/>
          <w:u w:val="single"/>
        </w:rPr>
        <w:t>Conceptual questions</w:t>
      </w:r>
      <w:r>
        <w:rPr>
          <w:rFonts w:ascii="Times New Roman" w:hAnsi="Times New Roman" w:cs="Times New Roman"/>
        </w:rPr>
        <w:t>:</w:t>
      </w:r>
    </w:p>
    <w:p w14:paraId="56C840E1" w14:textId="2EB9978A" w:rsidR="00FF75C5" w:rsidRPr="000E1322" w:rsidRDefault="000302C0" w:rsidP="000E1322">
      <w:pPr>
        <w:pStyle w:val="ListParagraph"/>
        <w:numPr>
          <w:ilvl w:val="0"/>
          <w:numId w:val="6"/>
        </w:numPr>
        <w:jc w:val="both"/>
        <w:rPr>
          <w:rFonts w:ascii="Times New Roman" w:hAnsi="Times New Roman" w:cs="Times New Roman"/>
        </w:rPr>
      </w:pPr>
      <w:r>
        <w:rPr>
          <w:rFonts w:ascii="Times New Roman" w:hAnsi="Times New Roman" w:cs="Times New Roman"/>
        </w:rPr>
        <w:t>The costs of implementing a real-world portfolio would be trading costs, or execution costs, while the cost of failing to implement, is the opportunity cost, or, by definition, the profit/loss one would have if implemented the portfolio. A rational investor should, in equilibrium, trade up to the point where trading cost equals the opportunity cost.</w:t>
      </w:r>
    </w:p>
    <w:p w14:paraId="63407A38" w14:textId="69675488" w:rsidR="000302C0" w:rsidRDefault="000302C0" w:rsidP="000302C0">
      <w:pPr>
        <w:pStyle w:val="ListParagraph"/>
        <w:numPr>
          <w:ilvl w:val="0"/>
          <w:numId w:val="6"/>
        </w:numPr>
        <w:jc w:val="both"/>
        <w:rPr>
          <w:rFonts w:ascii="Times New Roman" w:hAnsi="Times New Roman" w:cs="Times New Roman"/>
        </w:rPr>
      </w:pPr>
      <w:r>
        <w:rPr>
          <w:rFonts w:ascii="Times New Roman" w:hAnsi="Times New Roman" w:cs="Times New Roman"/>
        </w:rPr>
        <w:t xml:space="preserve">Typically, trading costs for an individual investor would be </w:t>
      </w:r>
      <w:r w:rsidRPr="00FF75C5">
        <w:rPr>
          <w:rFonts w:ascii="Times New Roman" w:hAnsi="Times New Roman" w:cs="Times New Roman"/>
        </w:rPr>
        <w:t>trading fees</w:t>
      </w:r>
      <w:r>
        <w:rPr>
          <w:rFonts w:ascii="Times New Roman" w:hAnsi="Times New Roman" w:cs="Times New Roman"/>
        </w:rPr>
        <w:t xml:space="preserve"> collected by intermediaries, bid/ask spreads, or, in some countries, trading taxes. These would be minor, if any, for large institutional traders. Instead, </w:t>
      </w:r>
      <w:r w:rsidR="00FF75C5">
        <w:rPr>
          <w:rFonts w:ascii="Times New Roman" w:hAnsi="Times New Roman" w:cs="Times New Roman"/>
        </w:rPr>
        <w:t xml:space="preserve">the non-proportional trading costs incurred due to price impact would be the most important to a large institutional investor. </w:t>
      </w:r>
      <w:r w:rsidR="00FF75C5">
        <w:rPr>
          <w:rFonts w:ascii="Times New Roman" w:hAnsi="Times New Roman" w:cs="Times New Roman"/>
        </w:rPr>
        <w:t xml:space="preserve">Institutional traders </w:t>
      </w:r>
      <w:r>
        <w:rPr>
          <w:rFonts w:ascii="Times New Roman" w:hAnsi="Times New Roman" w:cs="Times New Roman"/>
        </w:rPr>
        <w:t>would be facing costs from</w:t>
      </w:r>
      <w:r w:rsidR="00FF75C5">
        <w:rPr>
          <w:rFonts w:ascii="Times New Roman" w:hAnsi="Times New Roman" w:cs="Times New Roman"/>
        </w:rPr>
        <w:t xml:space="preserve"> the following factors</w:t>
      </w:r>
      <w:r>
        <w:rPr>
          <w:rFonts w:ascii="Times New Roman" w:hAnsi="Times New Roman" w:cs="Times New Roman"/>
        </w:rPr>
        <w:t>:</w:t>
      </w:r>
    </w:p>
    <w:p w14:paraId="3B9D92E1" w14:textId="1B1C2D4A" w:rsidR="000302C0" w:rsidRDefault="000302C0" w:rsidP="000302C0">
      <w:pPr>
        <w:pStyle w:val="ListParagraph"/>
        <w:numPr>
          <w:ilvl w:val="0"/>
          <w:numId w:val="7"/>
        </w:numPr>
        <w:jc w:val="both"/>
        <w:rPr>
          <w:rFonts w:ascii="Times New Roman" w:hAnsi="Times New Roman" w:cs="Times New Roman"/>
        </w:rPr>
      </w:pPr>
      <w:r>
        <w:rPr>
          <w:rFonts w:ascii="Times New Roman" w:hAnsi="Times New Roman" w:cs="Times New Roman"/>
        </w:rPr>
        <w:t>Price movements due to the market impact made by trades bigger than the market depth</w:t>
      </w:r>
      <w:r w:rsidR="008B0349">
        <w:rPr>
          <w:rFonts w:ascii="Times New Roman" w:hAnsi="Times New Roman" w:cs="Times New Roman"/>
        </w:rPr>
        <w:t>. To be more specific, the size of trades, turnovers, and the trading volume of the securities that institutions intend to trade will affect the impact of the size of costs incurred by price impact.</w:t>
      </w:r>
    </w:p>
    <w:p w14:paraId="2718A818" w14:textId="77777777" w:rsidR="000302C0" w:rsidRPr="000302C0" w:rsidRDefault="000302C0" w:rsidP="000302C0">
      <w:pPr>
        <w:pStyle w:val="ListParagraph"/>
        <w:numPr>
          <w:ilvl w:val="0"/>
          <w:numId w:val="7"/>
        </w:numPr>
        <w:jc w:val="both"/>
        <w:rPr>
          <w:rFonts w:ascii="Times New Roman" w:hAnsi="Times New Roman" w:cs="Times New Roman"/>
        </w:rPr>
      </w:pPr>
      <w:r w:rsidRPr="000302C0">
        <w:rPr>
          <w:rFonts w:ascii="Times New Roman" w:hAnsi="Times New Roman" w:cs="Times New Roman"/>
        </w:rPr>
        <w:t>Compensation for the inventory risk faced by market maker due to holding on to the asset before shifting it to another entity</w:t>
      </w:r>
    </w:p>
    <w:p w14:paraId="1DE4307B" w14:textId="423F6275" w:rsidR="00FF75C5" w:rsidRPr="000E1322" w:rsidRDefault="000302C0" w:rsidP="000E1322">
      <w:pPr>
        <w:pStyle w:val="ListParagraph"/>
        <w:numPr>
          <w:ilvl w:val="0"/>
          <w:numId w:val="7"/>
        </w:numPr>
        <w:jc w:val="both"/>
        <w:rPr>
          <w:rFonts w:ascii="Times New Roman" w:hAnsi="Times New Roman" w:cs="Times New Roman"/>
        </w:rPr>
      </w:pPr>
      <w:r>
        <w:rPr>
          <w:rFonts w:ascii="Times New Roman" w:hAnsi="Times New Roman" w:cs="Times New Roman"/>
        </w:rPr>
        <w:t>Liquidity issues due to inability to find the counterparty of the position</w:t>
      </w:r>
      <w:bookmarkStart w:id="0" w:name="_GoBack"/>
      <w:bookmarkEnd w:id="0"/>
    </w:p>
    <w:p w14:paraId="24F8375B" w14:textId="3C22CB76" w:rsidR="000302C0" w:rsidRDefault="000302C0" w:rsidP="000302C0">
      <w:pPr>
        <w:pStyle w:val="ListParagraph"/>
        <w:numPr>
          <w:ilvl w:val="0"/>
          <w:numId w:val="6"/>
        </w:numPr>
        <w:jc w:val="both"/>
        <w:rPr>
          <w:rFonts w:ascii="Times New Roman" w:hAnsi="Times New Roman" w:cs="Times New Roman"/>
        </w:rPr>
      </w:pPr>
      <w:r>
        <w:rPr>
          <w:rFonts w:ascii="Times New Roman" w:hAnsi="Times New Roman" w:cs="Times New Roman"/>
        </w:rPr>
        <w:t>To mitigate these costs, a firm/trader/manager can make their trades gradual; that is, do not make large lumps of trades in just one transaction. This may allow other entities to join the market and fill up the liquidity. To avoid the costs from inventory risk, the firm/trader/manager can deal mainly with a set of more frequently traded assets, and in smaller batches at a time. To mitigate the costs incurred from counterparty issue, the bank may simply hold more cash or other Tier 1 asset in their hands.</w:t>
      </w:r>
    </w:p>
    <w:p w14:paraId="61705D26" w14:textId="77777777" w:rsidR="00BE2096" w:rsidRPr="00AD04A2" w:rsidRDefault="00BE2096" w:rsidP="00AD04A2">
      <w:pPr>
        <w:pStyle w:val="ListParagraph"/>
        <w:ind w:left="360"/>
        <w:jc w:val="both"/>
        <w:rPr>
          <w:rFonts w:ascii="Times New Roman" w:hAnsi="Times New Roman" w:cs="Times New Roman"/>
        </w:rPr>
      </w:pPr>
    </w:p>
    <w:p w14:paraId="2EB25266" w14:textId="77777777" w:rsidR="00AD04A2" w:rsidRPr="00AD04A2" w:rsidRDefault="00D77428" w:rsidP="00AD04A2">
      <w:pPr>
        <w:pStyle w:val="ListParagraph"/>
        <w:numPr>
          <w:ilvl w:val="0"/>
          <w:numId w:val="5"/>
        </w:numPr>
        <w:jc w:val="both"/>
        <w:rPr>
          <w:rFonts w:ascii="Times New Roman" w:hAnsi="Times New Roman" w:cs="Times New Roman"/>
        </w:rPr>
      </w:pPr>
      <w:r>
        <w:rPr>
          <w:rFonts w:ascii="Times New Roman" w:hAnsi="Times New Roman" w:cs="Times New Roman"/>
        </w:rPr>
        <w:t>The table below lists the trading costs, net returns, and dollar net profits of each strategy, assuming $1 billion assigned.</w:t>
      </w:r>
    </w:p>
    <w:p w14:paraId="0A0FD37F" w14:textId="77777777" w:rsidR="00AD04A2" w:rsidRPr="00AD04A2" w:rsidRDefault="00AD04A2" w:rsidP="00AD04A2">
      <w:pPr>
        <w:pStyle w:val="ListParagraph"/>
        <w:ind w:left="360"/>
        <w:jc w:val="both"/>
        <w:rPr>
          <w:rFonts w:ascii="Times New Roman" w:hAnsi="Times New Roman" w:cs="Times New Roman"/>
        </w:rPr>
      </w:pPr>
      <w:r>
        <w:rPr>
          <w:noProof/>
        </w:rPr>
        <w:drawing>
          <wp:anchor distT="0" distB="0" distL="114300" distR="114300" simplePos="0" relativeHeight="251660288" behindDoc="0" locked="0" layoutInCell="1" allowOverlap="1" wp14:anchorId="6E4CAC12" wp14:editId="0E7231D1">
            <wp:simplePos x="0" y="0"/>
            <wp:positionH relativeFrom="margin">
              <wp:align>center</wp:align>
            </wp:positionH>
            <wp:positionV relativeFrom="paragraph">
              <wp:posOffset>245745</wp:posOffset>
            </wp:positionV>
            <wp:extent cx="4823460" cy="1120140"/>
            <wp:effectExtent l="0" t="0" r="0" b="3810"/>
            <wp:wrapTopAndBottom/>
            <wp:docPr id="3" name="Picture 2">
              <a:extLst xmlns:a="http://schemas.openxmlformats.org/drawingml/2006/main">
                <a:ext uri="{FF2B5EF4-FFF2-40B4-BE49-F238E27FC236}">
                  <a16:creationId xmlns:a16="http://schemas.microsoft.com/office/drawing/2014/main" id="{9D41CF32-3980-4917-B08E-5E1A7908D8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D41CF32-3980-4917-B08E-5E1A7908D8AC}"/>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3460" cy="1120140"/>
                    </a:xfrm>
                    <a:prstGeom prst="rect">
                      <a:avLst/>
                    </a:prstGeom>
                    <a:noFill/>
                    <a:extLst/>
                  </pic:spPr>
                </pic:pic>
              </a:graphicData>
            </a:graphic>
          </wp:anchor>
        </w:drawing>
      </w:r>
    </w:p>
    <w:p w14:paraId="1C316AB5" w14:textId="77777777" w:rsidR="00AD04A2" w:rsidRPr="00AD04A2" w:rsidRDefault="00AD04A2" w:rsidP="00AD04A2">
      <w:pPr>
        <w:pStyle w:val="ListParagraph"/>
        <w:ind w:left="360"/>
        <w:jc w:val="both"/>
        <w:rPr>
          <w:rFonts w:ascii="Times New Roman" w:hAnsi="Times New Roman" w:cs="Times New Roman"/>
        </w:rPr>
      </w:pPr>
    </w:p>
    <w:p w14:paraId="2ED764BE" w14:textId="77777777" w:rsidR="00AD04A2" w:rsidRPr="00D77428" w:rsidRDefault="00D103DE" w:rsidP="00D77428">
      <w:pPr>
        <w:pStyle w:val="ListParagraph"/>
        <w:numPr>
          <w:ilvl w:val="0"/>
          <w:numId w:val="5"/>
        </w:numPr>
        <w:jc w:val="both"/>
        <w:rPr>
          <w:rFonts w:ascii="Times New Roman" w:hAnsi="Times New Roman" w:cs="Times New Roman"/>
        </w:rPr>
      </w:pPr>
      <w:r>
        <w:rPr>
          <w:noProof/>
        </w:rPr>
        <w:drawing>
          <wp:anchor distT="0" distB="0" distL="114300" distR="114300" simplePos="0" relativeHeight="251659264" behindDoc="0" locked="0" layoutInCell="1" allowOverlap="1" wp14:anchorId="4DEDDB64" wp14:editId="39067B92">
            <wp:simplePos x="0" y="0"/>
            <wp:positionH relativeFrom="margin">
              <wp:posOffset>1017270</wp:posOffset>
            </wp:positionH>
            <wp:positionV relativeFrom="paragraph">
              <wp:posOffset>1152102</wp:posOffset>
            </wp:positionV>
            <wp:extent cx="4823460" cy="1120140"/>
            <wp:effectExtent l="0" t="0" r="0" b="3810"/>
            <wp:wrapTopAndBottom/>
            <wp:docPr id="6" name="Picture 1">
              <a:extLst xmlns:a="http://schemas.openxmlformats.org/drawingml/2006/main">
                <a:ext uri="{FF2B5EF4-FFF2-40B4-BE49-F238E27FC236}">
                  <a16:creationId xmlns:a16="http://schemas.microsoft.com/office/drawing/2014/main" id="{075527BC-3FCC-47D2-99FD-AD661FF581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75527BC-3FCC-47D2-99FD-AD661FF58173}"/>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3460" cy="1120140"/>
                    </a:xfrm>
                    <a:prstGeom prst="rect">
                      <a:avLst/>
                    </a:prstGeom>
                    <a:noFill/>
                    <a:extLst/>
                  </pic:spPr>
                </pic:pic>
              </a:graphicData>
            </a:graphic>
          </wp:anchor>
        </w:drawing>
      </w:r>
      <w:r w:rsidR="00D77428">
        <w:rPr>
          <w:rFonts w:ascii="Times New Roman" w:hAnsi="Times New Roman" w:cs="Times New Roman"/>
        </w:rPr>
        <w:t>The table below lists the trading costs, net returns, and dollar net profits of each strategy, assuming $2 billion assigned. Note that the total dollar costs are more than twice in amount; the fraction of cost increased. This illustrates the fact that larger trades have greater impacts on the market price, and thus incur more cost</w:t>
      </w:r>
      <w:r w:rsidR="00587823">
        <w:rPr>
          <w:rFonts w:ascii="Times New Roman" w:hAnsi="Times New Roman" w:cs="Times New Roman"/>
        </w:rPr>
        <w:t xml:space="preserve"> in percentage</w:t>
      </w:r>
      <w:r w:rsidR="00D77428">
        <w:rPr>
          <w:rFonts w:ascii="Times New Roman" w:hAnsi="Times New Roman" w:cs="Times New Roman"/>
        </w:rPr>
        <w:t xml:space="preserve">. </w:t>
      </w:r>
      <w:r w:rsidR="00587823">
        <w:rPr>
          <w:rFonts w:ascii="Times New Roman" w:hAnsi="Times New Roman" w:cs="Times New Roman"/>
        </w:rPr>
        <w:t xml:space="preserve">Since we have a higher % cost, we have a total dollar that is greater than double that of the original number. </w:t>
      </w:r>
      <w:r w:rsidR="00D77428">
        <w:rPr>
          <w:rFonts w:ascii="Times New Roman" w:hAnsi="Times New Roman" w:cs="Times New Roman"/>
        </w:rPr>
        <w:t>The degree of the increase differs by strategies</w:t>
      </w:r>
      <w:r>
        <w:rPr>
          <w:rFonts w:ascii="Times New Roman" w:hAnsi="Times New Roman" w:cs="Times New Roman"/>
        </w:rPr>
        <w:t>, since different strategies trade on different set of assets, and liquidity – market depth, average turnover, etc. – differs by different set of assets.</w:t>
      </w:r>
    </w:p>
    <w:p w14:paraId="18408F56" w14:textId="77777777" w:rsidR="00202A1F" w:rsidRDefault="00202A1F">
      <w:pPr>
        <w:rPr>
          <w:rFonts w:ascii="Times New Roman" w:hAnsi="Times New Roman" w:cs="Times New Roman"/>
        </w:rPr>
      </w:pPr>
      <w:r>
        <w:rPr>
          <w:rFonts w:ascii="Times New Roman" w:hAnsi="Times New Roman" w:cs="Times New Roman"/>
        </w:rPr>
        <w:br w:type="page"/>
      </w:r>
    </w:p>
    <w:p w14:paraId="7FC7A690" w14:textId="77777777" w:rsidR="00AD04A2" w:rsidRPr="00AD04A2" w:rsidRDefault="00D103DE" w:rsidP="00AD04A2">
      <w:pPr>
        <w:pStyle w:val="ListParagraph"/>
        <w:numPr>
          <w:ilvl w:val="0"/>
          <w:numId w:val="5"/>
        </w:numPr>
        <w:jc w:val="both"/>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48BF6DA0" wp14:editId="72DD67F1">
            <wp:simplePos x="0" y="0"/>
            <wp:positionH relativeFrom="margin">
              <wp:posOffset>1247775</wp:posOffset>
            </wp:positionH>
            <wp:positionV relativeFrom="paragraph">
              <wp:posOffset>346075</wp:posOffset>
            </wp:positionV>
            <wp:extent cx="4358640" cy="381000"/>
            <wp:effectExtent l="0" t="0" r="3810" b="0"/>
            <wp:wrapTopAndBottom/>
            <wp:docPr id="2" name="Picture 1">
              <a:extLst xmlns:a="http://schemas.openxmlformats.org/drawingml/2006/main">
                <a:ext uri="{FF2B5EF4-FFF2-40B4-BE49-F238E27FC236}">
                  <a16:creationId xmlns:a16="http://schemas.microsoft.com/office/drawing/2014/main" id="{8DC8C3BE-1A71-4CD5-AB14-1FD5FDEE6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DC8C3BE-1A71-4CD5-AB14-1FD5FDEE6EF6}"/>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8640" cy="381000"/>
                    </a:xfrm>
                    <a:prstGeom prst="rect">
                      <a:avLst/>
                    </a:prstGeom>
                    <a:noFill/>
                    <a:extLst/>
                  </pic:spPr>
                </pic:pic>
              </a:graphicData>
            </a:graphic>
          </wp:anchor>
        </w:drawing>
      </w:r>
      <w:r>
        <w:rPr>
          <w:rFonts w:ascii="Times New Roman" w:hAnsi="Times New Roman" w:cs="Times New Roman"/>
        </w:rPr>
        <w:t xml:space="preserve">The table below lists the break-even capacity of each strategy. Note that the </w:t>
      </w:r>
      <w:r w:rsidRPr="00D103DE">
        <w:rPr>
          <w:rFonts w:ascii="Times New Roman" w:hAnsi="Times New Roman" w:cs="Times New Roman"/>
          <w:i/>
        </w:rPr>
        <w:t>solver</w:t>
      </w:r>
      <w:r>
        <w:rPr>
          <w:rFonts w:ascii="Times New Roman" w:hAnsi="Times New Roman" w:cs="Times New Roman"/>
        </w:rPr>
        <w:t xml:space="preserve"> was unable to find an optimal value for STREV strategy</w:t>
      </w:r>
      <w:r w:rsidR="00EB2C85">
        <w:rPr>
          <w:rFonts w:ascii="Times New Roman" w:hAnsi="Times New Roman" w:cs="Times New Roman"/>
        </w:rPr>
        <w:t xml:space="preserve"> since we imposed a non-negativity constraint</w:t>
      </w:r>
      <w:r>
        <w:rPr>
          <w:rFonts w:ascii="Times New Roman" w:hAnsi="Times New Roman" w:cs="Times New Roman"/>
        </w:rPr>
        <w:t>.</w:t>
      </w:r>
    </w:p>
    <w:p w14:paraId="294DD7BA" w14:textId="77777777" w:rsidR="00AD04A2" w:rsidRPr="00D103DE" w:rsidRDefault="00AD04A2" w:rsidP="00D103DE">
      <w:pPr>
        <w:jc w:val="both"/>
        <w:rPr>
          <w:rFonts w:ascii="Times New Roman" w:hAnsi="Times New Roman" w:cs="Times New Roman"/>
        </w:rPr>
      </w:pPr>
    </w:p>
    <w:p w14:paraId="2A59C653" w14:textId="77777777" w:rsidR="00AD04A2" w:rsidRPr="00AD04A2" w:rsidRDefault="00D103DE" w:rsidP="00AD04A2">
      <w:pPr>
        <w:pStyle w:val="ListParagraph"/>
        <w:numPr>
          <w:ilvl w:val="0"/>
          <w:numId w:val="5"/>
        </w:numPr>
        <w:jc w:val="both"/>
        <w:rPr>
          <w:rFonts w:ascii="Times New Roman" w:hAnsi="Times New Roman" w:cs="Times New Roman"/>
        </w:rPr>
      </w:pPr>
      <w:r>
        <w:rPr>
          <w:rFonts w:ascii="Times New Roman" w:hAnsi="Times New Roman" w:cs="Times New Roman"/>
        </w:rPr>
        <w:t>The table below lists the break-even capacity of each strategy using the full sample from 1926 to 2015, and the difference in size when compared to the numbers when using a more recent sample – from 1990 to 2015 – as we did in (d). As we can see, we see the most change in SMB and the least in STREV</w:t>
      </w:r>
      <w:r w:rsidR="00D45ABC">
        <w:rPr>
          <w:rFonts w:ascii="Times New Roman" w:hAnsi="Times New Roman" w:cs="Times New Roman"/>
        </w:rPr>
        <w:t xml:space="preserve"> (we considered </w:t>
      </w:r>
      <w:proofErr w:type="spellStart"/>
      <w:r w:rsidR="00D45ABC" w:rsidRPr="00D45ABC">
        <w:rPr>
          <w:rFonts w:ascii="Times New Roman" w:hAnsi="Times New Roman" w:cs="Times New Roman"/>
          <w:i/>
        </w:rPr>
        <w:t>NaN</w:t>
      </w:r>
      <w:proofErr w:type="spellEnd"/>
      <w:r w:rsidR="00D45ABC">
        <w:rPr>
          <w:rFonts w:ascii="Times New Roman" w:hAnsi="Times New Roman" w:cs="Times New Roman"/>
        </w:rPr>
        <w:t xml:space="preserve"> as simply 0)</w:t>
      </w:r>
      <w:r>
        <w:rPr>
          <w:rFonts w:ascii="Times New Roman" w:hAnsi="Times New Roman" w:cs="Times New Roman"/>
        </w:rPr>
        <w:t>.</w:t>
      </w:r>
    </w:p>
    <w:p w14:paraId="511A2A21" w14:textId="77777777" w:rsidR="00AD04A2" w:rsidRPr="00AD04A2" w:rsidRDefault="00AD04A2" w:rsidP="00AD04A2">
      <w:pPr>
        <w:pStyle w:val="ListParagraph"/>
        <w:ind w:left="360"/>
        <w:jc w:val="both"/>
        <w:rPr>
          <w:rFonts w:ascii="Times New Roman" w:hAnsi="Times New Roman" w:cs="Times New Roman"/>
        </w:rPr>
      </w:pPr>
      <w:r>
        <w:rPr>
          <w:noProof/>
        </w:rPr>
        <w:drawing>
          <wp:anchor distT="0" distB="0" distL="114300" distR="114300" simplePos="0" relativeHeight="251661312" behindDoc="0" locked="0" layoutInCell="1" allowOverlap="1" wp14:anchorId="32E97A11" wp14:editId="41FCBF35">
            <wp:simplePos x="0" y="0"/>
            <wp:positionH relativeFrom="margin">
              <wp:align>center</wp:align>
            </wp:positionH>
            <wp:positionV relativeFrom="paragraph">
              <wp:posOffset>232622</wp:posOffset>
            </wp:positionV>
            <wp:extent cx="4503420" cy="563880"/>
            <wp:effectExtent l="0" t="0" r="0" b="7620"/>
            <wp:wrapTopAndBottom/>
            <wp:docPr id="7" name="Picture 1">
              <a:extLst xmlns:a="http://schemas.openxmlformats.org/drawingml/2006/main">
                <a:ext uri="{FF2B5EF4-FFF2-40B4-BE49-F238E27FC236}">
                  <a16:creationId xmlns:a16="http://schemas.microsoft.com/office/drawing/2014/main" id="{7DAB6D76-84D0-4C41-A73E-758BB48DEA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DAB6D76-84D0-4C41-A73E-758BB48DEA2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420" cy="563880"/>
                    </a:xfrm>
                    <a:prstGeom prst="rect">
                      <a:avLst/>
                    </a:prstGeom>
                    <a:noFill/>
                    <a:extLst/>
                  </pic:spPr>
                </pic:pic>
              </a:graphicData>
            </a:graphic>
          </wp:anchor>
        </w:drawing>
      </w:r>
    </w:p>
    <w:p w14:paraId="73CF14DE" w14:textId="77777777" w:rsidR="00AD04A2" w:rsidRDefault="00AD04A2" w:rsidP="00AD04A2">
      <w:pPr>
        <w:pStyle w:val="ListParagraph"/>
        <w:ind w:left="360"/>
        <w:jc w:val="both"/>
        <w:rPr>
          <w:rFonts w:ascii="Times New Roman" w:hAnsi="Times New Roman" w:cs="Times New Roman"/>
        </w:rPr>
      </w:pPr>
    </w:p>
    <w:p w14:paraId="6A608387" w14:textId="77777777" w:rsidR="00D103DE" w:rsidRDefault="00D103DE" w:rsidP="00AD04A2">
      <w:pPr>
        <w:pStyle w:val="ListParagraph"/>
        <w:ind w:left="360"/>
        <w:jc w:val="both"/>
        <w:rPr>
          <w:rFonts w:ascii="Times New Roman" w:hAnsi="Times New Roman" w:cs="Times New Roman"/>
        </w:rPr>
      </w:pPr>
    </w:p>
    <w:p w14:paraId="13A2CE0D" w14:textId="77777777" w:rsidR="00CA5E05" w:rsidRDefault="00D103DE" w:rsidP="00CA5E05">
      <w:pPr>
        <w:pStyle w:val="ListParagraph"/>
        <w:numPr>
          <w:ilvl w:val="0"/>
          <w:numId w:val="5"/>
        </w:numPr>
        <w:jc w:val="both"/>
        <w:rPr>
          <w:rFonts w:ascii="Times New Roman" w:hAnsi="Times New Roman" w:cs="Times New Roman"/>
        </w:rPr>
      </w:pPr>
      <w:r>
        <w:rPr>
          <w:rFonts w:ascii="Times New Roman" w:hAnsi="Times New Roman" w:cs="Times New Roman"/>
        </w:rPr>
        <w:t xml:space="preserve">The table below shows the fund size that maximizes the dollar profit for each strategy. </w:t>
      </w:r>
      <w:r w:rsidR="00BE2096">
        <w:rPr>
          <w:rFonts w:ascii="Times New Roman" w:hAnsi="Times New Roman" w:cs="Times New Roman"/>
        </w:rPr>
        <w:t>COMBO strategy has the largest net return in percentage but HML has the largest dollar profit. We observe this discrepancy</w:t>
      </w:r>
      <w:r w:rsidR="005D0571">
        <w:rPr>
          <w:rFonts w:ascii="Times New Roman" w:hAnsi="Times New Roman" w:cs="Times New Roman"/>
        </w:rPr>
        <w:t xml:space="preserve"> since dollar profit depends on the profit-maximizing fund size, as well as</w:t>
      </w:r>
      <w:r w:rsidR="005D0571" w:rsidRPr="005D0571">
        <w:rPr>
          <w:rFonts w:ascii="Times New Roman" w:hAnsi="Times New Roman" w:cs="Times New Roman"/>
        </w:rPr>
        <w:t xml:space="preserve"> </w:t>
      </w:r>
      <w:r w:rsidR="005D0571">
        <w:rPr>
          <w:rFonts w:ascii="Times New Roman" w:hAnsi="Times New Roman" w:cs="Times New Roman"/>
        </w:rPr>
        <w:t>the net return.</w:t>
      </w:r>
    </w:p>
    <w:p w14:paraId="67C793CC" w14:textId="77777777" w:rsidR="005D0571" w:rsidRPr="00CA5E05" w:rsidRDefault="00CF75EA" w:rsidP="00CA5E05">
      <w:pPr>
        <w:pStyle w:val="ListParagraph"/>
        <w:numPr>
          <w:ilvl w:val="1"/>
          <w:numId w:val="5"/>
        </w:numPr>
        <w:jc w:val="both"/>
        <w:rPr>
          <w:rFonts w:ascii="Times New Roman" w:hAnsi="Times New Roman" w:cs="Times New Roman"/>
        </w:rPr>
      </w:pPr>
      <w:r>
        <w:rPr>
          <w:noProof/>
        </w:rPr>
        <w:drawing>
          <wp:anchor distT="0" distB="0" distL="114300" distR="114300" simplePos="0" relativeHeight="251667456" behindDoc="0" locked="0" layoutInCell="1" allowOverlap="1" wp14:anchorId="184036B6" wp14:editId="727FB184">
            <wp:simplePos x="0" y="0"/>
            <wp:positionH relativeFrom="margin">
              <wp:posOffset>1245235</wp:posOffset>
            </wp:positionH>
            <wp:positionV relativeFrom="paragraph">
              <wp:posOffset>911891</wp:posOffset>
            </wp:positionV>
            <wp:extent cx="4503420" cy="754380"/>
            <wp:effectExtent l="0" t="0" r="0" b="7620"/>
            <wp:wrapTopAndBottom/>
            <wp:docPr id="4" name="Picture 3">
              <a:extLst xmlns:a="http://schemas.openxmlformats.org/drawingml/2006/main">
                <a:ext uri="{FF2B5EF4-FFF2-40B4-BE49-F238E27FC236}">
                  <a16:creationId xmlns:a16="http://schemas.microsoft.com/office/drawing/2014/main" id="{3095C112-AF55-48E5-B0C5-D660396FA3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095C112-AF55-48E5-B0C5-D660396FA3D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754380"/>
                    </a:xfrm>
                    <a:prstGeom prst="rect">
                      <a:avLst/>
                    </a:prstGeom>
                    <a:noFill/>
                    <a:extLst/>
                  </pic:spPr>
                </pic:pic>
              </a:graphicData>
            </a:graphic>
          </wp:anchor>
        </w:drawing>
      </w:r>
      <w:r w:rsidR="00CA5E05">
        <w:rPr>
          <w:rFonts w:ascii="Times New Roman" w:hAnsi="Times New Roman" w:cs="Times New Roman"/>
        </w:rPr>
        <w:t xml:space="preserve">The HML strategy generates the highest </w:t>
      </w:r>
      <w:r>
        <w:rPr>
          <w:rFonts w:ascii="Times New Roman" w:hAnsi="Times New Roman" w:cs="Times New Roman"/>
        </w:rPr>
        <w:t>dollar profits, but its net return is not the highest. The reason for this discrepancy is that the dollar profits are a function of net return and fund size. If we only focus on optimizing the net return, the fund size may sub-optimally small since a larger fund will generate a higher trading cost. Therefore, there is a tradeoff between a higher net return and a larger fund size. That’s why the highest net return not necessarily lead to the highest dollar profits.</w:t>
      </w:r>
    </w:p>
    <w:p w14:paraId="6E7DF976" w14:textId="77777777" w:rsidR="00AD04A2" w:rsidRPr="00AD04A2" w:rsidRDefault="00AD04A2" w:rsidP="00AD04A2">
      <w:pPr>
        <w:pStyle w:val="ListParagraph"/>
        <w:ind w:left="360"/>
        <w:jc w:val="both"/>
        <w:rPr>
          <w:rFonts w:ascii="Times New Roman" w:hAnsi="Times New Roman" w:cs="Times New Roman"/>
        </w:rPr>
      </w:pPr>
    </w:p>
    <w:p w14:paraId="71D80379" w14:textId="77777777" w:rsidR="00AD04A2" w:rsidRPr="00AD04A2" w:rsidRDefault="00CF75EA" w:rsidP="00AD04A2">
      <w:pPr>
        <w:pStyle w:val="ListParagraph"/>
        <w:numPr>
          <w:ilvl w:val="0"/>
          <w:numId w:val="5"/>
        </w:numPr>
        <w:jc w:val="both"/>
        <w:rPr>
          <w:rFonts w:ascii="Times New Roman" w:hAnsi="Times New Roman" w:cs="Times New Roman"/>
        </w:rPr>
      </w:pPr>
      <w:r>
        <w:rPr>
          <w:noProof/>
        </w:rPr>
        <w:drawing>
          <wp:anchor distT="0" distB="0" distL="114300" distR="114300" simplePos="0" relativeHeight="251663360" behindDoc="0" locked="0" layoutInCell="1" allowOverlap="1" wp14:anchorId="27CA0725" wp14:editId="0C80E964">
            <wp:simplePos x="0" y="0"/>
            <wp:positionH relativeFrom="margin">
              <wp:posOffset>906496</wp:posOffset>
            </wp:positionH>
            <wp:positionV relativeFrom="paragraph">
              <wp:posOffset>456044</wp:posOffset>
            </wp:positionV>
            <wp:extent cx="4998720" cy="1485900"/>
            <wp:effectExtent l="0" t="0" r="0" b="0"/>
            <wp:wrapTopAndBottom/>
            <wp:docPr id="9" name="Picture 1">
              <a:extLst xmlns:a="http://schemas.openxmlformats.org/drawingml/2006/main">
                <a:ext uri="{FF2B5EF4-FFF2-40B4-BE49-F238E27FC236}">
                  <a16:creationId xmlns:a16="http://schemas.microsoft.com/office/drawing/2014/main" id="{E2D7300F-3A3D-4198-B495-6DEB1B0EDD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2D7300F-3A3D-4198-B495-6DEB1B0EDD99}"/>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720" cy="1485900"/>
                    </a:xfrm>
                    <a:prstGeom prst="rect">
                      <a:avLst/>
                    </a:prstGeom>
                    <a:noFill/>
                    <a:extLst/>
                  </pic:spPr>
                </pic:pic>
              </a:graphicData>
            </a:graphic>
          </wp:anchor>
        </w:drawing>
      </w:r>
      <w:r w:rsidR="005D0571">
        <w:rPr>
          <w:rFonts w:ascii="Times New Roman" w:hAnsi="Times New Roman" w:cs="Times New Roman"/>
        </w:rPr>
        <w:t xml:space="preserve">The table below exhibits the improvements on the net returns and the changes in fund sizes when we decrease the turnover by a fraction of 0.75. </w:t>
      </w:r>
    </w:p>
    <w:p w14:paraId="070A3079" w14:textId="77777777" w:rsidR="00202A1F" w:rsidRDefault="00202A1F" w:rsidP="00AD04A2">
      <w:pPr>
        <w:pStyle w:val="ListParagraph"/>
        <w:ind w:left="360"/>
        <w:jc w:val="both"/>
        <w:rPr>
          <w:rFonts w:ascii="Times New Roman" w:hAnsi="Times New Roman" w:cs="Times New Roman"/>
        </w:rPr>
      </w:pPr>
    </w:p>
    <w:p w14:paraId="2CF23AA5" w14:textId="77777777" w:rsidR="007B3E21" w:rsidRDefault="007B3E21" w:rsidP="00AD04A2">
      <w:pPr>
        <w:pStyle w:val="ListParagraph"/>
        <w:ind w:left="360"/>
        <w:jc w:val="both"/>
        <w:rPr>
          <w:rFonts w:ascii="Times New Roman" w:hAnsi="Times New Roman" w:cs="Times New Roman"/>
        </w:rPr>
      </w:pPr>
    </w:p>
    <w:p w14:paraId="63C0979E" w14:textId="77777777" w:rsidR="00202A1F" w:rsidRDefault="00202A1F">
      <w:pPr>
        <w:rPr>
          <w:rFonts w:ascii="Times New Roman" w:hAnsi="Times New Roman" w:cs="Times New Roman"/>
        </w:rPr>
      </w:pPr>
      <w:r>
        <w:rPr>
          <w:rFonts w:ascii="Times New Roman" w:hAnsi="Times New Roman" w:cs="Times New Roman"/>
        </w:rPr>
        <w:br w:type="page"/>
      </w:r>
    </w:p>
    <w:p w14:paraId="6E8573C5" w14:textId="77777777" w:rsidR="00AD04A2" w:rsidRPr="00AD04A2" w:rsidRDefault="005D0571" w:rsidP="00AD04A2">
      <w:pPr>
        <w:pStyle w:val="ListParagraph"/>
        <w:numPr>
          <w:ilvl w:val="0"/>
          <w:numId w:val="5"/>
        </w:numPr>
        <w:jc w:val="both"/>
        <w:rPr>
          <w:rFonts w:ascii="Times New Roman" w:hAnsi="Times New Roman" w:cs="Times New Roman"/>
        </w:rPr>
      </w:pPr>
      <w:r>
        <w:rPr>
          <w:rFonts w:ascii="Times New Roman" w:hAnsi="Times New Roman" w:cs="Times New Roman"/>
        </w:rPr>
        <w:lastRenderedPageBreak/>
        <w:t xml:space="preserve">The table below exhibits the improvements on the net returns and the changes in fund sizes when we decrease the turnover by a fraction of 0.75 and decrease the gross return by </w:t>
      </w:r>
      <m:oMath>
        <m:r>
          <m:rPr>
            <m:sty m:val="p"/>
          </m:rPr>
          <w:rPr>
            <w:rFonts w:ascii="Cambria Math" w:hAnsi="Cambria Math" w:cs="Times New Roman"/>
          </w:rPr>
          <m:t>(×</m:t>
        </m:r>
        <m:f>
          <m:fPr>
            <m:type m:val="skw"/>
            <m:ctrlPr>
              <w:rPr>
                <w:rFonts w:ascii="Cambria Math" w:hAnsi="Cambria Math" w:cs="Times New Roman"/>
              </w:rPr>
            </m:ctrlPr>
          </m:fPr>
          <m:num>
            <m:r>
              <w:rPr>
                <w:rFonts w:ascii="Cambria Math" w:hAnsi="Cambria Math" w:cs="Times New Roman"/>
              </w:rPr>
              <m:t>original turnover</m:t>
            </m:r>
          </m:num>
          <m:den>
            <m:r>
              <m:rPr>
                <m:sty m:val="p"/>
              </m:rPr>
              <w:rPr>
                <w:rFonts w:ascii="Cambria Math" w:hAnsi="Cambria Math" w:cs="Times New Roman"/>
              </w:rPr>
              <m:t>4</m:t>
            </m:r>
          </m:den>
        </m:f>
        <m:r>
          <w:rPr>
            <w:rFonts w:ascii="Cambria Math" w:hAnsi="Cambria Math" w:cs="Times New Roman"/>
          </w:rPr>
          <m:t>)</m:t>
        </m:r>
      </m:oMath>
      <w:r w:rsidR="001614ED">
        <w:rPr>
          <w:rFonts w:ascii="Times New Roman" w:hAnsi="Times New Roman" w:cs="Times New Roman"/>
        </w:rPr>
        <w:t>. As we can see, although we have both the costs and benefits decreased, net return improved and the break-even capacity increased overall. This tells us that, in this setting, it is optimal to trade more, since the trading cost decreased by a greater amount than opportunity cost did.</w:t>
      </w:r>
    </w:p>
    <w:p w14:paraId="10B73193" w14:textId="77777777" w:rsidR="00AD04A2" w:rsidRPr="00AD04A2" w:rsidRDefault="007E38E8" w:rsidP="00AD04A2">
      <w:pPr>
        <w:pStyle w:val="ListParagraph"/>
        <w:ind w:left="360"/>
        <w:jc w:val="both"/>
        <w:rPr>
          <w:rFonts w:ascii="Times New Roman" w:hAnsi="Times New Roman" w:cs="Times New Roman"/>
        </w:rPr>
      </w:pPr>
      <w:r>
        <w:rPr>
          <w:noProof/>
        </w:rPr>
        <w:drawing>
          <wp:anchor distT="0" distB="0" distL="114300" distR="114300" simplePos="0" relativeHeight="251664384" behindDoc="0" locked="0" layoutInCell="1" allowOverlap="1" wp14:anchorId="488657BA" wp14:editId="64E04F76">
            <wp:simplePos x="0" y="0"/>
            <wp:positionH relativeFrom="margin">
              <wp:align>center</wp:align>
            </wp:positionH>
            <wp:positionV relativeFrom="paragraph">
              <wp:posOffset>163195</wp:posOffset>
            </wp:positionV>
            <wp:extent cx="4998720" cy="1485900"/>
            <wp:effectExtent l="0" t="0" r="0" b="0"/>
            <wp:wrapTopAndBottom/>
            <wp:docPr id="14" name="Picture 1">
              <a:extLst xmlns:a="http://schemas.openxmlformats.org/drawingml/2006/main">
                <a:ext uri="{FF2B5EF4-FFF2-40B4-BE49-F238E27FC236}">
                  <a16:creationId xmlns:a16="http://schemas.microsoft.com/office/drawing/2014/main" id="{56D325D4-CE26-4F3D-8B0A-3A89EACF32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6D325D4-CE26-4F3D-8B0A-3A89EACF324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1485900"/>
                    </a:xfrm>
                    <a:prstGeom prst="rect">
                      <a:avLst/>
                    </a:prstGeom>
                    <a:noFill/>
                    <a:extLst/>
                  </pic:spPr>
                </pic:pic>
              </a:graphicData>
            </a:graphic>
          </wp:anchor>
        </w:drawing>
      </w:r>
    </w:p>
    <w:p w14:paraId="5EF5822F" w14:textId="77777777" w:rsidR="001614ED" w:rsidRDefault="001614ED">
      <w:pPr>
        <w:rPr>
          <w:rFonts w:ascii="Times New Roman" w:hAnsi="Times New Roman" w:cs="Times New Roman"/>
        </w:rPr>
      </w:pPr>
    </w:p>
    <w:p w14:paraId="0B901E3E" w14:textId="77777777" w:rsidR="00AD04A2" w:rsidRPr="00AD04A2" w:rsidRDefault="001614ED" w:rsidP="00AD04A2">
      <w:pPr>
        <w:pStyle w:val="ListParagraph"/>
        <w:numPr>
          <w:ilvl w:val="0"/>
          <w:numId w:val="5"/>
        </w:numPr>
        <w:jc w:val="both"/>
        <w:rPr>
          <w:rFonts w:ascii="Times New Roman" w:hAnsi="Times New Roman" w:cs="Times New Roman"/>
        </w:rPr>
      </w:pPr>
      <w:r>
        <w:rPr>
          <w:rFonts w:ascii="Times New Roman" w:hAnsi="Times New Roman" w:cs="Times New Roman"/>
        </w:rPr>
        <w:t>The table below exhibits the improvements on the net returns and the changes in fund sizes when we increase the daily volume by twice; we have a more liquid market in each strategy. As we can see, the increase in net return is significantly higher for STREV than all the others, indicating that liquidity matters the most when trading on short-term reversals. This is a reasonable result since the strategy requires frequent trading</w:t>
      </w:r>
      <w:r w:rsidR="00E71176">
        <w:rPr>
          <w:rFonts w:ascii="Times New Roman" w:hAnsi="Times New Roman" w:cs="Times New Roman"/>
        </w:rPr>
        <w:t>,</w:t>
      </w:r>
      <w:r>
        <w:rPr>
          <w:rFonts w:ascii="Times New Roman" w:hAnsi="Times New Roman" w:cs="Times New Roman"/>
        </w:rPr>
        <w:t xml:space="preserve"> by definition.</w:t>
      </w:r>
      <w:r w:rsidR="00E71176">
        <w:rPr>
          <w:rFonts w:ascii="Times New Roman" w:hAnsi="Times New Roman" w:cs="Times New Roman"/>
        </w:rPr>
        <w:t xml:space="preserve"> In fact, we observe 2.25 for the turnover, which is approximately at least more than 3 times larger than all other strategies.</w:t>
      </w:r>
    </w:p>
    <w:p w14:paraId="32E4E9D8" w14:textId="77777777" w:rsidR="00AD04A2" w:rsidRPr="00AD04A2" w:rsidRDefault="007E38E8" w:rsidP="00AD04A2">
      <w:pPr>
        <w:pStyle w:val="ListParagraph"/>
        <w:ind w:left="360"/>
        <w:jc w:val="both"/>
        <w:rPr>
          <w:rFonts w:ascii="Times New Roman" w:hAnsi="Times New Roman" w:cs="Times New Roman"/>
        </w:rPr>
      </w:pPr>
      <w:r>
        <w:rPr>
          <w:noProof/>
        </w:rPr>
        <w:drawing>
          <wp:anchor distT="0" distB="0" distL="114300" distR="114300" simplePos="0" relativeHeight="251665408" behindDoc="0" locked="0" layoutInCell="1" allowOverlap="1" wp14:anchorId="0C555A5B" wp14:editId="41780B88">
            <wp:simplePos x="0" y="0"/>
            <wp:positionH relativeFrom="margin">
              <wp:align>center</wp:align>
            </wp:positionH>
            <wp:positionV relativeFrom="paragraph">
              <wp:posOffset>276225</wp:posOffset>
            </wp:positionV>
            <wp:extent cx="4998720" cy="1485900"/>
            <wp:effectExtent l="0" t="0" r="0" b="0"/>
            <wp:wrapTopAndBottom/>
            <wp:docPr id="21" name="Picture 1">
              <a:extLst xmlns:a="http://schemas.openxmlformats.org/drawingml/2006/main">
                <a:ext uri="{FF2B5EF4-FFF2-40B4-BE49-F238E27FC236}">
                  <a16:creationId xmlns:a16="http://schemas.microsoft.com/office/drawing/2014/main" id="{19781739-F77B-4642-A97A-0565D9B873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9781739-F77B-4642-A97A-0565D9B873DB}"/>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8720" cy="1485900"/>
                    </a:xfrm>
                    <a:prstGeom prst="rect">
                      <a:avLst/>
                    </a:prstGeom>
                    <a:noFill/>
                    <a:extLst/>
                  </pic:spPr>
                </pic:pic>
              </a:graphicData>
            </a:graphic>
          </wp:anchor>
        </w:drawing>
      </w:r>
    </w:p>
    <w:p w14:paraId="12EBDB96" w14:textId="77777777" w:rsidR="00AD04A2" w:rsidRPr="00AD04A2" w:rsidRDefault="00AD04A2" w:rsidP="00AD04A2">
      <w:pPr>
        <w:pStyle w:val="ListParagraph"/>
        <w:ind w:left="360"/>
        <w:jc w:val="both"/>
        <w:rPr>
          <w:rFonts w:ascii="Times New Roman" w:hAnsi="Times New Roman" w:cs="Times New Roman"/>
        </w:rPr>
      </w:pPr>
    </w:p>
    <w:p w14:paraId="7D53D458" w14:textId="77777777" w:rsidR="00AD04A2" w:rsidRPr="00AD04A2" w:rsidRDefault="00AD04A2" w:rsidP="00AD04A2">
      <w:pPr>
        <w:pStyle w:val="ListParagraph"/>
        <w:ind w:left="360"/>
        <w:jc w:val="both"/>
        <w:rPr>
          <w:rFonts w:ascii="Times New Roman" w:hAnsi="Times New Roman" w:cs="Times New Roman"/>
        </w:rPr>
      </w:pPr>
    </w:p>
    <w:p w14:paraId="14061F6B" w14:textId="77777777" w:rsidR="00AD04A2" w:rsidRPr="00AD04A2" w:rsidRDefault="001614ED" w:rsidP="00AD04A2">
      <w:pPr>
        <w:pStyle w:val="ListParagraph"/>
        <w:numPr>
          <w:ilvl w:val="0"/>
          <w:numId w:val="5"/>
        </w:numPr>
        <w:jc w:val="both"/>
        <w:rPr>
          <w:rFonts w:ascii="Times New Roman" w:hAnsi="Times New Roman" w:cs="Times New Roman"/>
        </w:rPr>
      </w:pPr>
      <w:r>
        <w:rPr>
          <w:rFonts w:ascii="Times New Roman" w:hAnsi="Times New Roman" w:cs="Times New Roman"/>
        </w:rPr>
        <w:t xml:space="preserve">The table below exhibits the </w:t>
      </w:r>
      <w:r w:rsidR="00B41948">
        <w:rPr>
          <w:rFonts w:ascii="Times New Roman" w:hAnsi="Times New Roman" w:cs="Times New Roman"/>
        </w:rPr>
        <w:t xml:space="preserve">changes in the net returns and the fund sizes when we adjust the gross returns for a more liquid market. Net return decreased for all strategies, while break-even fund size also decreased for all strategies except for UMD. The result tells us that, in the real world, more liquidity does not sufficiently compensate for the decrease in gross returns. </w:t>
      </w:r>
      <w:r w:rsidR="00444CAE">
        <w:rPr>
          <w:rFonts w:ascii="Times New Roman" w:hAnsi="Times New Roman" w:cs="Times New Roman"/>
        </w:rPr>
        <w:t>The exception in UMD is also quite reasonable since the strategy requires a relatively frequent repositioning. It is quite surprising to see that we do not observe the same in STREV as it also requires frequent turnovers.</w:t>
      </w:r>
      <w:r w:rsidR="00D05244">
        <w:rPr>
          <w:rFonts w:ascii="Times New Roman" w:hAnsi="Times New Roman" w:cs="Times New Roman"/>
        </w:rPr>
        <w:t xml:space="preserve"> This may be a result of STREV having a very low return.</w:t>
      </w:r>
    </w:p>
    <w:p w14:paraId="49F011A1" w14:textId="77777777" w:rsidR="00AD04A2" w:rsidRPr="00AD04A2" w:rsidRDefault="00AD04A2" w:rsidP="00AD04A2">
      <w:pPr>
        <w:pStyle w:val="ListParagraph"/>
        <w:ind w:left="360"/>
        <w:jc w:val="both"/>
        <w:rPr>
          <w:rFonts w:ascii="Times New Roman" w:hAnsi="Times New Roman" w:cs="Times New Roman"/>
        </w:rPr>
      </w:pPr>
    </w:p>
    <w:p w14:paraId="19E12B73" w14:textId="77777777" w:rsidR="00AD04A2" w:rsidRPr="00AD04A2" w:rsidRDefault="007E38E8" w:rsidP="00AD04A2">
      <w:pPr>
        <w:pStyle w:val="ListParagraph"/>
        <w:ind w:left="360"/>
        <w:jc w:val="both"/>
        <w:rPr>
          <w:rFonts w:ascii="Times New Roman" w:hAnsi="Times New Roman" w:cs="Times New Roman"/>
        </w:rPr>
      </w:pPr>
      <w:r w:rsidRPr="007E38E8">
        <w:rPr>
          <w:noProof/>
        </w:rPr>
        <w:drawing>
          <wp:anchor distT="0" distB="0" distL="114300" distR="114300" simplePos="0" relativeHeight="251666432" behindDoc="0" locked="0" layoutInCell="1" allowOverlap="1" wp14:anchorId="355F3C45" wp14:editId="2197F112">
            <wp:simplePos x="0" y="0"/>
            <wp:positionH relativeFrom="margin">
              <wp:align>center</wp:align>
            </wp:positionH>
            <wp:positionV relativeFrom="paragraph">
              <wp:posOffset>101600</wp:posOffset>
            </wp:positionV>
            <wp:extent cx="4995545" cy="149034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5545" cy="1490345"/>
                    </a:xfrm>
                    <a:prstGeom prst="rect">
                      <a:avLst/>
                    </a:prstGeom>
                    <a:noFill/>
                    <a:ln>
                      <a:noFill/>
                    </a:ln>
                  </pic:spPr>
                </pic:pic>
              </a:graphicData>
            </a:graphic>
          </wp:anchor>
        </w:drawing>
      </w:r>
    </w:p>
    <w:sectPr w:rsidR="00AD04A2" w:rsidRPr="00AD04A2" w:rsidSect="00DD25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67096"/>
    <w:multiLevelType w:val="hybridMultilevel"/>
    <w:tmpl w:val="FC921662"/>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 w15:restartNumberingAfterBreak="0">
    <w:nsid w:val="39040412"/>
    <w:multiLevelType w:val="hybridMultilevel"/>
    <w:tmpl w:val="EE3AD400"/>
    <w:lvl w:ilvl="0" w:tplc="5E0EDC60">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DE3A74"/>
    <w:multiLevelType w:val="hybridMultilevel"/>
    <w:tmpl w:val="5790A25E"/>
    <w:lvl w:ilvl="0" w:tplc="BBEAB5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A7A68"/>
    <w:multiLevelType w:val="hybridMultilevel"/>
    <w:tmpl w:val="5440977E"/>
    <w:lvl w:ilvl="0" w:tplc="04090017">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687C6E"/>
    <w:multiLevelType w:val="hybridMultilevel"/>
    <w:tmpl w:val="9B98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1463B"/>
    <w:multiLevelType w:val="hybridMultilevel"/>
    <w:tmpl w:val="B372C06C"/>
    <w:lvl w:ilvl="0" w:tplc="ED86B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E00C3A"/>
    <w:multiLevelType w:val="hybridMultilevel"/>
    <w:tmpl w:val="E1B8DDD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5"/>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F54"/>
    <w:rsid w:val="000302C0"/>
    <w:rsid w:val="000452CA"/>
    <w:rsid w:val="000761EC"/>
    <w:rsid w:val="00092853"/>
    <w:rsid w:val="000B03B0"/>
    <w:rsid w:val="000E1322"/>
    <w:rsid w:val="00122352"/>
    <w:rsid w:val="001614ED"/>
    <w:rsid w:val="001949AE"/>
    <w:rsid w:val="00202A1F"/>
    <w:rsid w:val="00224F26"/>
    <w:rsid w:val="00226666"/>
    <w:rsid w:val="0023336E"/>
    <w:rsid w:val="00252079"/>
    <w:rsid w:val="00381034"/>
    <w:rsid w:val="00395D56"/>
    <w:rsid w:val="00420333"/>
    <w:rsid w:val="00444CAE"/>
    <w:rsid w:val="00481791"/>
    <w:rsid w:val="00481E59"/>
    <w:rsid w:val="00484D71"/>
    <w:rsid w:val="004F31BB"/>
    <w:rsid w:val="00587823"/>
    <w:rsid w:val="005D0571"/>
    <w:rsid w:val="005E2974"/>
    <w:rsid w:val="0062760B"/>
    <w:rsid w:val="0067728A"/>
    <w:rsid w:val="006800E4"/>
    <w:rsid w:val="006B6D78"/>
    <w:rsid w:val="0073610B"/>
    <w:rsid w:val="007B3E21"/>
    <w:rsid w:val="007E38E8"/>
    <w:rsid w:val="007E7F54"/>
    <w:rsid w:val="00890A4E"/>
    <w:rsid w:val="008A2134"/>
    <w:rsid w:val="008B0349"/>
    <w:rsid w:val="00997618"/>
    <w:rsid w:val="00A5026F"/>
    <w:rsid w:val="00AD04A2"/>
    <w:rsid w:val="00B41948"/>
    <w:rsid w:val="00B74AC2"/>
    <w:rsid w:val="00BE1053"/>
    <w:rsid w:val="00BE2096"/>
    <w:rsid w:val="00BE44AE"/>
    <w:rsid w:val="00CA5E05"/>
    <w:rsid w:val="00CF75EA"/>
    <w:rsid w:val="00D05244"/>
    <w:rsid w:val="00D103DE"/>
    <w:rsid w:val="00D45ABC"/>
    <w:rsid w:val="00D77428"/>
    <w:rsid w:val="00DD25AE"/>
    <w:rsid w:val="00E71176"/>
    <w:rsid w:val="00E923F2"/>
    <w:rsid w:val="00EB2C85"/>
    <w:rsid w:val="00EC4B35"/>
    <w:rsid w:val="00ED13E2"/>
    <w:rsid w:val="00EF572B"/>
    <w:rsid w:val="00F376AF"/>
    <w:rsid w:val="00FF75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0C4F"/>
  <w15:chartTrackingRefBased/>
  <w15:docId w15:val="{1B78FD53-A0F5-432E-AC13-B1299845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8A"/>
    <w:pPr>
      <w:ind w:left="720"/>
      <w:contextualSpacing/>
    </w:pPr>
  </w:style>
  <w:style w:type="paragraph" w:styleId="Title">
    <w:name w:val="Title"/>
    <w:basedOn w:val="Normal"/>
    <w:next w:val="Normal"/>
    <w:link w:val="TitleChar"/>
    <w:uiPriority w:val="10"/>
    <w:qFormat/>
    <w:rsid w:val="00B74AC2"/>
    <w:pPr>
      <w:widowControl w:val="0"/>
      <w:spacing w:before="240" w:after="60" w:line="240" w:lineRule="auto"/>
      <w:jc w:val="center"/>
      <w:outlineLvl w:val="0"/>
    </w:pPr>
    <w:rPr>
      <w:rFonts w:asciiTheme="majorHAnsi" w:eastAsiaTheme="majorEastAsia" w:hAnsiTheme="majorHAnsi" w:cstheme="majorBidi"/>
      <w:b/>
      <w:bCs/>
      <w:kern w:val="2"/>
      <w:sz w:val="32"/>
      <w:szCs w:val="32"/>
      <w:lang w:eastAsia="zh-CN"/>
    </w:rPr>
  </w:style>
  <w:style w:type="character" w:customStyle="1" w:styleId="TitleChar">
    <w:name w:val="Title Char"/>
    <w:basedOn w:val="DefaultParagraphFont"/>
    <w:link w:val="Title"/>
    <w:uiPriority w:val="10"/>
    <w:rsid w:val="00B74AC2"/>
    <w:rPr>
      <w:rFonts w:asciiTheme="majorHAnsi" w:eastAsiaTheme="majorEastAsia" w:hAnsiTheme="majorHAnsi" w:cstheme="majorBidi"/>
      <w:b/>
      <w:bCs/>
      <w:kern w:val="2"/>
      <w:sz w:val="32"/>
      <w:szCs w:val="32"/>
      <w:lang w:eastAsia="zh-CN"/>
    </w:rPr>
  </w:style>
  <w:style w:type="character" w:styleId="PlaceholderText">
    <w:name w:val="Placeholder Text"/>
    <w:basedOn w:val="DefaultParagraphFont"/>
    <w:uiPriority w:val="99"/>
    <w:semiHidden/>
    <w:rsid w:val="00224F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2623">
      <w:bodyDiv w:val="1"/>
      <w:marLeft w:val="0"/>
      <w:marRight w:val="0"/>
      <w:marTop w:val="0"/>
      <w:marBottom w:val="0"/>
      <w:divBdr>
        <w:top w:val="none" w:sz="0" w:space="0" w:color="auto"/>
        <w:left w:val="none" w:sz="0" w:space="0" w:color="auto"/>
        <w:bottom w:val="none" w:sz="0" w:space="0" w:color="auto"/>
        <w:right w:val="none" w:sz="0" w:space="0" w:color="auto"/>
      </w:divBdr>
    </w:div>
    <w:div w:id="86774407">
      <w:bodyDiv w:val="1"/>
      <w:marLeft w:val="0"/>
      <w:marRight w:val="0"/>
      <w:marTop w:val="0"/>
      <w:marBottom w:val="0"/>
      <w:divBdr>
        <w:top w:val="none" w:sz="0" w:space="0" w:color="auto"/>
        <w:left w:val="none" w:sz="0" w:space="0" w:color="auto"/>
        <w:bottom w:val="none" w:sz="0" w:space="0" w:color="auto"/>
        <w:right w:val="none" w:sz="0" w:space="0" w:color="auto"/>
      </w:divBdr>
    </w:div>
    <w:div w:id="121460463">
      <w:bodyDiv w:val="1"/>
      <w:marLeft w:val="0"/>
      <w:marRight w:val="0"/>
      <w:marTop w:val="0"/>
      <w:marBottom w:val="0"/>
      <w:divBdr>
        <w:top w:val="none" w:sz="0" w:space="0" w:color="auto"/>
        <w:left w:val="none" w:sz="0" w:space="0" w:color="auto"/>
        <w:bottom w:val="none" w:sz="0" w:space="0" w:color="auto"/>
        <w:right w:val="none" w:sz="0" w:space="0" w:color="auto"/>
      </w:divBdr>
    </w:div>
    <w:div w:id="274602627">
      <w:bodyDiv w:val="1"/>
      <w:marLeft w:val="0"/>
      <w:marRight w:val="0"/>
      <w:marTop w:val="0"/>
      <w:marBottom w:val="0"/>
      <w:divBdr>
        <w:top w:val="none" w:sz="0" w:space="0" w:color="auto"/>
        <w:left w:val="none" w:sz="0" w:space="0" w:color="auto"/>
        <w:bottom w:val="none" w:sz="0" w:space="0" w:color="auto"/>
        <w:right w:val="none" w:sz="0" w:space="0" w:color="auto"/>
      </w:divBdr>
    </w:div>
    <w:div w:id="279536172">
      <w:bodyDiv w:val="1"/>
      <w:marLeft w:val="0"/>
      <w:marRight w:val="0"/>
      <w:marTop w:val="0"/>
      <w:marBottom w:val="0"/>
      <w:divBdr>
        <w:top w:val="none" w:sz="0" w:space="0" w:color="auto"/>
        <w:left w:val="none" w:sz="0" w:space="0" w:color="auto"/>
        <w:bottom w:val="none" w:sz="0" w:space="0" w:color="auto"/>
        <w:right w:val="none" w:sz="0" w:space="0" w:color="auto"/>
      </w:divBdr>
    </w:div>
    <w:div w:id="355812250">
      <w:bodyDiv w:val="1"/>
      <w:marLeft w:val="0"/>
      <w:marRight w:val="0"/>
      <w:marTop w:val="0"/>
      <w:marBottom w:val="0"/>
      <w:divBdr>
        <w:top w:val="none" w:sz="0" w:space="0" w:color="auto"/>
        <w:left w:val="none" w:sz="0" w:space="0" w:color="auto"/>
        <w:bottom w:val="none" w:sz="0" w:space="0" w:color="auto"/>
        <w:right w:val="none" w:sz="0" w:space="0" w:color="auto"/>
      </w:divBdr>
    </w:div>
    <w:div w:id="543564417">
      <w:bodyDiv w:val="1"/>
      <w:marLeft w:val="0"/>
      <w:marRight w:val="0"/>
      <w:marTop w:val="0"/>
      <w:marBottom w:val="0"/>
      <w:divBdr>
        <w:top w:val="none" w:sz="0" w:space="0" w:color="auto"/>
        <w:left w:val="none" w:sz="0" w:space="0" w:color="auto"/>
        <w:bottom w:val="none" w:sz="0" w:space="0" w:color="auto"/>
        <w:right w:val="none" w:sz="0" w:space="0" w:color="auto"/>
      </w:divBdr>
    </w:div>
    <w:div w:id="736435073">
      <w:bodyDiv w:val="1"/>
      <w:marLeft w:val="0"/>
      <w:marRight w:val="0"/>
      <w:marTop w:val="0"/>
      <w:marBottom w:val="0"/>
      <w:divBdr>
        <w:top w:val="none" w:sz="0" w:space="0" w:color="auto"/>
        <w:left w:val="none" w:sz="0" w:space="0" w:color="auto"/>
        <w:bottom w:val="none" w:sz="0" w:space="0" w:color="auto"/>
        <w:right w:val="none" w:sz="0" w:space="0" w:color="auto"/>
      </w:divBdr>
    </w:div>
    <w:div w:id="877473303">
      <w:bodyDiv w:val="1"/>
      <w:marLeft w:val="0"/>
      <w:marRight w:val="0"/>
      <w:marTop w:val="0"/>
      <w:marBottom w:val="0"/>
      <w:divBdr>
        <w:top w:val="none" w:sz="0" w:space="0" w:color="auto"/>
        <w:left w:val="none" w:sz="0" w:space="0" w:color="auto"/>
        <w:bottom w:val="none" w:sz="0" w:space="0" w:color="auto"/>
        <w:right w:val="none" w:sz="0" w:space="0" w:color="auto"/>
      </w:divBdr>
    </w:div>
    <w:div w:id="981035808">
      <w:bodyDiv w:val="1"/>
      <w:marLeft w:val="0"/>
      <w:marRight w:val="0"/>
      <w:marTop w:val="0"/>
      <w:marBottom w:val="0"/>
      <w:divBdr>
        <w:top w:val="none" w:sz="0" w:space="0" w:color="auto"/>
        <w:left w:val="none" w:sz="0" w:space="0" w:color="auto"/>
        <w:bottom w:val="none" w:sz="0" w:space="0" w:color="auto"/>
        <w:right w:val="none" w:sz="0" w:space="0" w:color="auto"/>
      </w:divBdr>
    </w:div>
    <w:div w:id="1006324590">
      <w:bodyDiv w:val="1"/>
      <w:marLeft w:val="0"/>
      <w:marRight w:val="0"/>
      <w:marTop w:val="0"/>
      <w:marBottom w:val="0"/>
      <w:divBdr>
        <w:top w:val="none" w:sz="0" w:space="0" w:color="auto"/>
        <w:left w:val="none" w:sz="0" w:space="0" w:color="auto"/>
        <w:bottom w:val="none" w:sz="0" w:space="0" w:color="auto"/>
        <w:right w:val="none" w:sz="0" w:space="0" w:color="auto"/>
      </w:divBdr>
    </w:div>
    <w:div w:id="1036852810">
      <w:bodyDiv w:val="1"/>
      <w:marLeft w:val="0"/>
      <w:marRight w:val="0"/>
      <w:marTop w:val="0"/>
      <w:marBottom w:val="0"/>
      <w:divBdr>
        <w:top w:val="none" w:sz="0" w:space="0" w:color="auto"/>
        <w:left w:val="none" w:sz="0" w:space="0" w:color="auto"/>
        <w:bottom w:val="none" w:sz="0" w:space="0" w:color="auto"/>
        <w:right w:val="none" w:sz="0" w:space="0" w:color="auto"/>
      </w:divBdr>
    </w:div>
    <w:div w:id="1058162532">
      <w:bodyDiv w:val="1"/>
      <w:marLeft w:val="0"/>
      <w:marRight w:val="0"/>
      <w:marTop w:val="0"/>
      <w:marBottom w:val="0"/>
      <w:divBdr>
        <w:top w:val="none" w:sz="0" w:space="0" w:color="auto"/>
        <w:left w:val="none" w:sz="0" w:space="0" w:color="auto"/>
        <w:bottom w:val="none" w:sz="0" w:space="0" w:color="auto"/>
        <w:right w:val="none" w:sz="0" w:space="0" w:color="auto"/>
      </w:divBdr>
    </w:div>
    <w:div w:id="1179780354">
      <w:bodyDiv w:val="1"/>
      <w:marLeft w:val="0"/>
      <w:marRight w:val="0"/>
      <w:marTop w:val="0"/>
      <w:marBottom w:val="0"/>
      <w:divBdr>
        <w:top w:val="none" w:sz="0" w:space="0" w:color="auto"/>
        <w:left w:val="none" w:sz="0" w:space="0" w:color="auto"/>
        <w:bottom w:val="none" w:sz="0" w:space="0" w:color="auto"/>
        <w:right w:val="none" w:sz="0" w:space="0" w:color="auto"/>
      </w:divBdr>
    </w:div>
    <w:div w:id="1387144353">
      <w:bodyDiv w:val="1"/>
      <w:marLeft w:val="0"/>
      <w:marRight w:val="0"/>
      <w:marTop w:val="0"/>
      <w:marBottom w:val="0"/>
      <w:divBdr>
        <w:top w:val="none" w:sz="0" w:space="0" w:color="auto"/>
        <w:left w:val="none" w:sz="0" w:space="0" w:color="auto"/>
        <w:bottom w:val="none" w:sz="0" w:space="0" w:color="auto"/>
        <w:right w:val="none" w:sz="0" w:space="0" w:color="auto"/>
      </w:divBdr>
    </w:div>
    <w:div w:id="1409617852">
      <w:bodyDiv w:val="1"/>
      <w:marLeft w:val="0"/>
      <w:marRight w:val="0"/>
      <w:marTop w:val="0"/>
      <w:marBottom w:val="0"/>
      <w:divBdr>
        <w:top w:val="none" w:sz="0" w:space="0" w:color="auto"/>
        <w:left w:val="none" w:sz="0" w:space="0" w:color="auto"/>
        <w:bottom w:val="none" w:sz="0" w:space="0" w:color="auto"/>
        <w:right w:val="none" w:sz="0" w:space="0" w:color="auto"/>
      </w:divBdr>
    </w:div>
    <w:div w:id="1459447825">
      <w:bodyDiv w:val="1"/>
      <w:marLeft w:val="0"/>
      <w:marRight w:val="0"/>
      <w:marTop w:val="0"/>
      <w:marBottom w:val="0"/>
      <w:divBdr>
        <w:top w:val="none" w:sz="0" w:space="0" w:color="auto"/>
        <w:left w:val="none" w:sz="0" w:space="0" w:color="auto"/>
        <w:bottom w:val="none" w:sz="0" w:space="0" w:color="auto"/>
        <w:right w:val="none" w:sz="0" w:space="0" w:color="auto"/>
      </w:divBdr>
    </w:div>
    <w:div w:id="1768037040">
      <w:bodyDiv w:val="1"/>
      <w:marLeft w:val="0"/>
      <w:marRight w:val="0"/>
      <w:marTop w:val="0"/>
      <w:marBottom w:val="0"/>
      <w:divBdr>
        <w:top w:val="none" w:sz="0" w:space="0" w:color="auto"/>
        <w:left w:val="none" w:sz="0" w:space="0" w:color="auto"/>
        <w:bottom w:val="none" w:sz="0" w:space="0" w:color="auto"/>
        <w:right w:val="none" w:sz="0" w:space="0" w:color="auto"/>
      </w:divBdr>
    </w:div>
    <w:div w:id="1792823269">
      <w:bodyDiv w:val="1"/>
      <w:marLeft w:val="0"/>
      <w:marRight w:val="0"/>
      <w:marTop w:val="0"/>
      <w:marBottom w:val="0"/>
      <w:divBdr>
        <w:top w:val="none" w:sz="0" w:space="0" w:color="auto"/>
        <w:left w:val="none" w:sz="0" w:space="0" w:color="auto"/>
        <w:bottom w:val="none" w:sz="0" w:space="0" w:color="auto"/>
        <w:right w:val="none" w:sz="0" w:space="0" w:color="auto"/>
      </w:divBdr>
    </w:div>
    <w:div w:id="1810129858">
      <w:bodyDiv w:val="1"/>
      <w:marLeft w:val="0"/>
      <w:marRight w:val="0"/>
      <w:marTop w:val="0"/>
      <w:marBottom w:val="0"/>
      <w:divBdr>
        <w:top w:val="none" w:sz="0" w:space="0" w:color="auto"/>
        <w:left w:val="none" w:sz="0" w:space="0" w:color="auto"/>
        <w:bottom w:val="none" w:sz="0" w:space="0" w:color="auto"/>
        <w:right w:val="none" w:sz="0" w:space="0" w:color="auto"/>
      </w:divBdr>
    </w:div>
    <w:div w:id="1970016598">
      <w:bodyDiv w:val="1"/>
      <w:marLeft w:val="0"/>
      <w:marRight w:val="0"/>
      <w:marTop w:val="0"/>
      <w:marBottom w:val="0"/>
      <w:divBdr>
        <w:top w:val="none" w:sz="0" w:space="0" w:color="auto"/>
        <w:left w:val="none" w:sz="0" w:space="0" w:color="auto"/>
        <w:bottom w:val="none" w:sz="0" w:space="0" w:color="auto"/>
        <w:right w:val="none" w:sz="0" w:space="0" w:color="auto"/>
      </w:divBdr>
    </w:div>
    <w:div w:id="2115787609">
      <w:bodyDiv w:val="1"/>
      <w:marLeft w:val="0"/>
      <w:marRight w:val="0"/>
      <w:marTop w:val="0"/>
      <w:marBottom w:val="0"/>
      <w:divBdr>
        <w:top w:val="none" w:sz="0" w:space="0" w:color="auto"/>
        <w:left w:val="none" w:sz="0" w:space="0" w:color="auto"/>
        <w:bottom w:val="none" w:sz="0" w:space="0" w:color="auto"/>
        <w:right w:val="none" w:sz="0" w:space="0" w:color="auto"/>
      </w:divBdr>
    </w:div>
    <w:div w:id="211878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6908D-EB01-3247-8AEF-9CD303F96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Lee</dc:creator>
  <cp:keywords/>
  <dc:description/>
  <cp:lastModifiedBy>Boyang Pan</cp:lastModifiedBy>
  <cp:revision>4</cp:revision>
  <dcterms:created xsi:type="dcterms:W3CDTF">2019-04-16T01:12:00Z</dcterms:created>
  <dcterms:modified xsi:type="dcterms:W3CDTF">2019-04-17T18:29:00Z</dcterms:modified>
</cp:coreProperties>
</file>