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55DDB">
      <w:pPr>
        <w:spacing w:before="0" w:after="100" w:line="240" w:lineRule="auto"/>
        <w:jc w:val="both"/>
        <w:rPr>
          <w:rFonts w:hint="default" w:cs="Times New Roman" w:asciiTheme="minorAscii" w:hAnsiTheme="minorAscii"/>
          <w:b/>
          <w:bCs/>
          <w:color w:val="auto"/>
          <w:sz w:val="32"/>
          <w:szCs w:val="32"/>
          <w:lang w:val="en-PH"/>
        </w:rPr>
      </w:pPr>
      <w:r>
        <w:rPr>
          <w:rFonts w:hint="default" w:cs="Times New Roman" w:asciiTheme="minorAscii" w:hAnsiTheme="minorAscii"/>
          <w:b/>
          <w:bCs/>
          <w:color w:val="auto"/>
          <w:sz w:val="32"/>
          <w:szCs w:val="32"/>
          <w:lang w:val="en-PH"/>
        </w:rPr>
        <w:t>Tanael, Brian Joshua P.</w:t>
      </w:r>
    </w:p>
    <w:p w14:paraId="6C5D3C1B">
      <w:pPr>
        <w:spacing w:before="0" w:after="100" w:line="240" w:lineRule="auto"/>
        <w:jc w:val="both"/>
        <w:rPr>
          <w:rFonts w:hint="default" w:cs="Times New Roman" w:asciiTheme="minorAscii" w:hAnsiTheme="minorAscii"/>
          <w:b/>
          <w:bCs/>
          <w:color w:val="auto"/>
          <w:sz w:val="36"/>
          <w:szCs w:val="36"/>
          <w:lang w:val="en-PH"/>
        </w:rPr>
      </w:pPr>
      <w:r>
        <w:rPr>
          <w:rFonts w:hint="default" w:cs="Times New Roman" w:asciiTheme="minorAscii" w:hAnsiTheme="minorAscii"/>
          <w:b/>
          <w:bCs/>
          <w:color w:val="auto"/>
          <w:sz w:val="32"/>
          <w:szCs w:val="32"/>
          <w:lang w:val="en-PH"/>
        </w:rPr>
        <w:t>BSIT - 41018</w:t>
      </w:r>
    </w:p>
    <w:p w14:paraId="280D7EAB">
      <w:pPr>
        <w:spacing w:before="0" w:after="100"/>
        <w:jc w:val="center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36"/>
          <w:szCs w:val="36"/>
        </w:rPr>
        <w:t>SYSTEM INTEGRATION PLAN</w:t>
      </w:r>
    </w:p>
    <w:p w14:paraId="156B6332">
      <w:pPr>
        <w:spacing w:before="0" w:after="60"/>
        <w:jc w:val="center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4"/>
          <w:szCs w:val="24"/>
        </w:rPr>
        <w:t>Activity: "Integrate the System"</w:t>
      </w:r>
    </w:p>
    <w:p w14:paraId="5A656653">
      <w:pPr>
        <w:spacing w:before="0" w:after="240"/>
        <w:jc w:val="center"/>
        <w:rPr>
          <w:rFonts w:hint="default" w:cs="Times New Roman" w:asciiTheme="minorAscii" w:hAnsiTheme="minorAscii"/>
          <w:b/>
          <w:bCs/>
          <w:i w:val="0"/>
          <w:iCs w:val="0"/>
          <w:color w:val="auto"/>
          <w:sz w:val="22"/>
          <w:szCs w:val="24"/>
        </w:rPr>
      </w:pPr>
      <w:r>
        <w:rPr>
          <w:rFonts w:hint="default" w:cs="Times New Roman" w:asciiTheme="minorAscii" w:hAnsiTheme="minorAscii"/>
          <w:b/>
          <w:bCs/>
          <w:i w:val="0"/>
          <w:iCs w:val="0"/>
          <w:color w:val="auto"/>
          <w:sz w:val="24"/>
          <w:szCs w:val="24"/>
        </w:rPr>
        <w:t>Scenario: Computer Café Management System</w:t>
      </w:r>
    </w:p>
    <w:p w14:paraId="497F5192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1. Integration Strategy</w:t>
      </w:r>
    </w:p>
    <w:p w14:paraId="28E4F532">
      <w:pPr>
        <w:spacing w:before="60" w:after="1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Approach: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>Incremental / Bottom-Up Integration Strategy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— Modules are integrated step-by-step starting from the foundational data entities, progressing through core operational workflows, financial transactions, and culminating in management reporting.</w:t>
      </w:r>
    </w:p>
    <w:p w14:paraId="63C308A0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1: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Data &amp; Master Entities: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Customer Management and Computer Unit Management are integrated first with the central database to guarantee customer accounts, tariff rates, and workstation profiles exist reliably.</w:t>
      </w:r>
    </w:p>
    <w:p w14:paraId="6DB83FD8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2: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Core Session Logic: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Time/Session Management is integrated with Customer and Computer Unit Management to bind authenticated users to active workstation timers.</w:t>
      </w:r>
    </w:p>
    <w:p w14:paraId="1CF1F2FA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3: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Financial &amp; Billing Engine: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Billing and Payment is integrated with Time/Session Management to dynamically calculate charges, process payments, and record top-ups upon session completion.</w:t>
      </w:r>
    </w:p>
    <w:p w14:paraId="548376EF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4: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Reporting &amp; Analytics: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The Reports module is integrated with all upstream data streams to aggregate daily sales, peak usage hours, and terminal utilization analytics.</w:t>
      </w:r>
    </w:p>
    <w:p w14:paraId="4E5D8998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Step 5: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End-to-End System Validation: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Execute complete lifecycle tests from customer registration to receipt issuance and report generation.</w:t>
      </w:r>
    </w:p>
    <w:p w14:paraId="7A611654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2. Development Facility</w:t>
      </w:r>
    </w:p>
    <w:p w14:paraId="3D429698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Hardware Environment: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1 Main Central Server (Admin/Host Node), 2–3 Client Test PCs/Terminals (simulating café stations), and a dedicated Local Area Network (LAN)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switch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/Router.</w:t>
      </w:r>
    </w:p>
    <w:p w14:paraId="4B224140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Operating System: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Windows 10 / 11 (for both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the Server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Host and Client Station Units).</w:t>
      </w:r>
    </w:p>
    <w:p w14:paraId="67CE67A5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Development &amp; Runtime Environment: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Visual Studio / VS Code, .NET Core / Java SDK / Node.js runtime environment.</w:t>
      </w:r>
    </w:p>
    <w:p w14:paraId="3BDDF4B8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Database Management System: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MySQL / PostgreSQL / MS SQL Server Express for central transactional and relational data storage.</w:t>
      </w:r>
    </w:p>
    <w:p w14:paraId="153E8934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Version Control &amp; Testing Tools: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Git / GitHub for source branch control, Postman for API/REST interface verification, and automated unit/integration test runners (e.g., NUnit / JUnit / Jest).</w:t>
      </w:r>
    </w:p>
    <w:p w14:paraId="0F072E0E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3. Integration Setup</w:t>
      </w:r>
    </w:p>
    <w:p w14:paraId="0CA2038C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Client-Server Architecture: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The main host machine runs the centralized database and backend business logic services. Workstation terminals run the Client Lock/Timer agent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application,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communicating over sockets/REST APIs.</w:t>
      </w:r>
    </w:p>
    <w:p w14:paraId="1CE1316B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Network &amp; Port Configuration: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Assigned static local IP addresses with dedicated communication ports (e.g., TCP Port 8080/3306) configured through the local Windows Firewall.</w:t>
      </w:r>
    </w:p>
    <w:p w14:paraId="481D2D1D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Staging Database &amp; Seed Data: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Staging database pre-populated with synthetic test accounts (e.g., 20 members with varied prepaid balances and 10 workstation terminal profiles).</w:t>
      </w:r>
    </w:p>
    <w:p w14:paraId="45F30728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Centralized Configuration Files: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Standardized configuration files (.env / appsettings.json) specifying database connection strings, heartbeat ping intervals, and rate cards across all nodes.</w:t>
      </w:r>
    </w:p>
    <w:p w14:paraId="315CBCF3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4. Integration Log</w:t>
      </w:r>
    </w:p>
    <w:p w14:paraId="62D9B038">
      <w:pPr>
        <w:spacing w:before="60" w:after="1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color w:val="auto"/>
          <w:sz w:val="22"/>
          <w:szCs w:val="22"/>
        </w:rPr>
        <w:t>The integration log tracks every test execution, defect, and resolution. Key fields include:</w:t>
      </w:r>
    </w:p>
    <w:p w14:paraId="1579AB9C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Log Entry ID &amp; Timestamp: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Unique test identifier with date and precise execution timestamp.</w:t>
      </w:r>
    </w:p>
    <w:p w14:paraId="080076EA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Modules Under Test: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Specific module pair or interface tested (e.g., Time/Session Management → Billing &amp; Payment).</w:t>
      </w:r>
    </w:p>
    <w:p w14:paraId="4DA2F05C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Build / Commit Version: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Software build number or Git commit hash under evaluation.</w:t>
      </w:r>
    </w:p>
    <w:p w14:paraId="66875764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Test Scenario / Case ID: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Test case identifier and brief description (e.g., TC-INT-04: Auto-logout upon zero prepaid balance).</w:t>
      </w:r>
    </w:p>
    <w:p w14:paraId="7FD16C2F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Input Data &amp; Parameters: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Customer ID, terminal ID, allocated session minutes, and discount codes.</w:t>
      </w:r>
    </w:p>
    <w:p w14:paraId="5155442B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Expected vs. Actual Result: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Expected behavior vs. actual recorded system response.</w:t>
      </w:r>
    </w:p>
    <w:p w14:paraId="1F8CE83F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Status &amp; Severity: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Status (PASS / FAIL / BLOCKED) and defect severity (Critical, Major, Minor).</w:t>
      </w:r>
    </w:p>
    <w:p w14:paraId="7D2A7A6D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Assigned Personnel: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Name of the QA tester and the assigned developer responsible for fixes.</w:t>
      </w:r>
    </w:p>
    <w:p w14:paraId="5F8D241A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5. Test Completion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4071"/>
        <w:gridCol w:w="2714"/>
      </w:tblGrid>
      <w:tr w14:paraId="5F223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  <w:shd w:val="clear" w:color="auto" w:fill="1F4E79"/>
          </w:tcPr>
          <w:p w14:paraId="28F784F3">
            <w:pPr>
              <w:jc w:val="both"/>
              <w:rPr>
                <w:rFonts w:hint="default" w:cs="Times New Roman" w:asciiTheme="minorAscii" w:hAnsiTheme="minorAsci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</w:t>
            </w:r>
            <w:r>
              <w:rPr>
                <w:rFonts w:hint="default" w:cs="Times New Roman" w:asciiTheme="minorAscii" w:hAnsiTheme="minorAscii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est Category</w:t>
            </w:r>
          </w:p>
        </w:tc>
        <w:tc>
          <w:tcPr>
            <w:tcW w:w="2250" w:type="pct"/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  <w:shd w:val="clear" w:color="auto" w:fill="1F4E79"/>
          </w:tcPr>
          <w:p w14:paraId="2FD60505">
            <w:pPr>
              <w:jc w:val="both"/>
              <w:rPr>
                <w:rFonts w:hint="default" w:cs="Times New Roman" w:asciiTheme="minorAscii" w:hAnsiTheme="minorAsci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Scope &amp; Objective</w:t>
            </w:r>
          </w:p>
        </w:tc>
        <w:tc>
          <w:tcPr>
            <w:tcW w:w="1500" w:type="pct"/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  <w:shd w:val="clear" w:color="auto" w:fill="1F4E79"/>
          </w:tcPr>
          <w:p w14:paraId="4CDB737C">
            <w:pPr>
              <w:jc w:val="both"/>
              <w:rPr>
                <w:rFonts w:hint="default" w:cs="Times New Roman" w:asciiTheme="minorAscii" w:hAnsiTheme="minorAsci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Pass Criteria</w:t>
            </w:r>
          </w:p>
        </w:tc>
      </w:tr>
      <w:tr w14:paraId="4299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25CB4107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Module Interface Tests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2C493E46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Verify contiguous data exchanges between connected modules (e.g., Timer accurately feeds Billing).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6ADD69F7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100% data fidelity; zero payload errors or missing arguments.</w:t>
            </w:r>
          </w:p>
        </w:tc>
      </w:tr>
      <w:tr w14:paraId="530B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78020F9F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End-to-End Scenario Tests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1E2AB29E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Full customer lifecycle: Register → Terminal Allocation → Active Session → Logout → Payment → Report.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4802DA1D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Smooth complete run without runtime crashes or manual fixes.</w:t>
            </w:r>
          </w:p>
        </w:tc>
      </w:tr>
      <w:tr w14:paraId="5FBC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719DE408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Concurrency &amp; Stress Tests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31D450B0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Simultaneous session logins, top-ups, and logouts across multiple terminals.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32D7B502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 xml:space="preserve">No race conditions, </w:t>
            </w: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  <w:lang w:val="en-PH"/>
              </w:rPr>
              <w:t>deadlocks</w:t>
            </w: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, or delayed socket pings.</w:t>
            </w:r>
          </w:p>
        </w:tc>
      </w:tr>
      <w:tr w14:paraId="43779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300FDBA1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Error Handling &amp; Recovery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11800D76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Simulate sudden power cuts, network drops, or invalid billing inputs.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33CDA931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Automatic session state recovery with zero lost financial records.</w:t>
            </w:r>
          </w:p>
        </w:tc>
      </w:tr>
      <w:tr w14:paraId="5EF5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078AFAC1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b/>
                <w:bCs/>
                <w:color w:val="auto"/>
                <w:sz w:val="20"/>
                <w:szCs w:val="20"/>
              </w:rPr>
              <w:t>Reporting Reconciliation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6E3D939D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Cross-validate Billing module transaction sums with aggregated Reports.</w:t>
            </w:r>
          </w:p>
        </w:tc>
        <w:tc>
          <w:tcPr>
            <w:tcBorders>
              <w:top w:val="single" w:color="D3D3D3" w:sz="0" w:space="0"/>
              <w:left w:val="single" w:color="D3D3D3" w:sz="0" w:space="0"/>
              <w:bottom w:val="single" w:color="D3D3D3" w:sz="0" w:space="0"/>
              <w:right w:val="single" w:color="D3D3D3" w:sz="0" w:space="0"/>
            </w:tcBorders>
          </w:tcPr>
          <w:p w14:paraId="40FFF602">
            <w:pPr>
              <w:jc w:val="both"/>
              <w:rPr>
                <w:rFonts w:hint="default" w:cs="Times New Roman" w:asciiTheme="minorAscii" w:hAnsiTheme="minorAscii"/>
                <w:color w:val="auto"/>
              </w:rPr>
            </w:pPr>
            <w:r>
              <w:rPr>
                <w:rFonts w:hint="default" w:cs="Times New Roman" w:asciiTheme="minorAscii" w:hAnsiTheme="minorAscii"/>
                <w:color w:val="auto"/>
                <w:sz w:val="20"/>
                <w:szCs w:val="20"/>
              </w:rPr>
              <w:t>100% mathematical consistency across all financial reports.</w:t>
            </w:r>
          </w:p>
        </w:tc>
      </w:tr>
    </w:tbl>
    <w:p w14:paraId="0BEC2E66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6. Independent Verification &amp; Validation (IV&amp;V)</w:t>
      </w:r>
    </w:p>
    <w:p w14:paraId="6832AB14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Verification ("Building the product right"):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Perform formal static code inspections, peer architecture reviews, API schema validation, and Traceability Matrix verification to ensure all functional specifications are implemented accurately.</w:t>
      </w:r>
    </w:p>
    <w:p w14:paraId="17362365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Validation ("Building the right product"):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Conduct simulated daily café operations (User Acceptance Testing) with independent testers and actual café staff/cashiers. Test real-world scenarios such as walk-ins, member top-ups, split billing, discounts, and end-of-shift audits to confirm operational fitness.</w:t>
      </w:r>
    </w:p>
    <w:p w14:paraId="57030759">
      <w:pPr>
        <w:pStyle w:val="16"/>
        <w:numPr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</w:p>
    <w:p w14:paraId="3751B972">
      <w:pPr>
        <w:pStyle w:val="16"/>
        <w:numPr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</w:p>
    <w:p w14:paraId="50070DFD">
      <w:pPr>
        <w:pStyle w:val="16"/>
        <w:numPr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</w:p>
    <w:p w14:paraId="7DCFE106">
      <w:pPr>
        <w:pStyle w:val="16"/>
        <w:numPr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  <w:bookmarkStart w:id="0" w:name="_GoBack"/>
      <w:bookmarkEnd w:id="0"/>
    </w:p>
    <w:p w14:paraId="0670342D">
      <w:pPr>
        <w:pStyle w:val="16"/>
        <w:numPr>
          <w:numId w:val="0"/>
        </w:numPr>
        <w:spacing w:before="60" w:after="60"/>
        <w:jc w:val="both"/>
        <w:rPr>
          <w:rFonts w:hint="default" w:cs="Times New Roman" w:asciiTheme="minorAscii" w:hAnsiTheme="minorAscii"/>
          <w:color w:val="auto"/>
          <w:sz w:val="22"/>
          <w:szCs w:val="22"/>
        </w:rPr>
      </w:pPr>
    </w:p>
    <w:p w14:paraId="572BEB27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7. Configuration Audit</w:t>
      </w:r>
    </w:p>
    <w:p w14:paraId="4F4ACF9A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Physical Configuration Audit (PCA):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Verify that target server hardware, client terminals, networking gear, and POS receipt printers meet minimum technical specifications. Confirm that user manuals and operational guides are finalized.</w:t>
      </w:r>
    </w:p>
    <w:p w14:paraId="0BC27CE9">
      <w:pPr>
        <w:pStyle w:val="16"/>
        <w:numPr>
          <w:ilvl w:val="0"/>
          <w:numId w:val="1"/>
        </w:numPr>
        <w:spacing w:before="60" w:after="6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Functional Configuration Audit (FCA):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Ensure all 5 modules are compiled in Release Mode. Verify removal of debug/mock code, validate successful database schema migration on clean instances, and confirm security hardening (password hashing, role-based access control, and automated database backups).</w:t>
      </w:r>
    </w:p>
    <w:p w14:paraId="22550AC3">
      <w:pPr>
        <w:pStyle w:val="3"/>
        <w:spacing w:before="240" w:after="12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6"/>
          <w:szCs w:val="26"/>
        </w:rPr>
        <w:t>Guide Question &amp; Answer</w:t>
      </w:r>
    </w:p>
    <w:p w14:paraId="1955ACA7">
      <w:pPr>
        <w:numPr>
          <w:ilvl w:val="0"/>
          <w:numId w:val="2"/>
        </w:numPr>
        <w:spacing w:before="100" w:after="120"/>
        <w:ind w:left="420" w:leftChars="0" w:hanging="420" w:firstLineChars="0"/>
        <w:jc w:val="both"/>
        <w:rPr>
          <w:rFonts w:hint="default" w:cs="Times New Roman" w:asciiTheme="minorAscii" w:hAnsiTheme="minorAscii"/>
          <w:i w:val="0"/>
          <w:iCs w:val="0"/>
          <w:color w:val="auto"/>
        </w:rPr>
      </w:pPr>
      <w:r>
        <w:rPr>
          <w:rFonts w:hint="default" w:cs="Times New Roman" w:asciiTheme="minorAscii" w:hAnsiTheme="minorAscii"/>
          <w:b/>
          <w:bCs/>
          <w:i w:val="0"/>
          <w:iCs w:val="0"/>
          <w:color w:val="auto"/>
          <w:sz w:val="22"/>
          <w:szCs w:val="22"/>
        </w:rPr>
        <w:t>How can you ensure that all five modules work together correctly before the system is deployed?</w:t>
      </w:r>
    </w:p>
    <w:p w14:paraId="5CFFC5F5">
      <w:pPr>
        <w:spacing w:before="60" w:after="8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color w:val="auto"/>
          <w:sz w:val="22"/>
          <w:szCs w:val="22"/>
        </w:rPr>
        <w:t>To guarantee that all five modules operate cohesively and reliably before production deployment, we enforce five critical validation layers:</w:t>
      </w:r>
    </w:p>
    <w:p w14:paraId="3A10AA56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1.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Incremental Bottom-Up Integration: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Integrating modules progressively (Customer/Unit Data → Session Timers → Billing → Reports) enables early defect detection at each interface boundary before full-system assembly.</w:t>
      </w:r>
    </w:p>
    <w:p w14:paraId="073EC27F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2.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Comprehensive End-to-End (E2E) Testing: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Executing full operational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life cycle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flows verifies seamless data propagation from customer check-in to receipt generation and daily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analytic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updates.</w:t>
      </w:r>
    </w:p>
    <w:p w14:paraId="35EBB35B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3.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Multi-Terminal Stress &amp; Concurrency Testing: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Simulating peak café loads validates socket communication stability, real-time timer sync, and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transaction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database integrity under simultaneous operations.</w:t>
      </w:r>
    </w:p>
    <w:p w14:paraId="172995EF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4.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Automated Financial &amp; Data Reconciliation: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Conducting audit checks to ensure session </w:t>
      </w:r>
      <w:r>
        <w:rPr>
          <w:rFonts w:hint="default" w:cs="Times New Roman" w:asciiTheme="minorAscii" w:hAnsiTheme="minorAscii"/>
          <w:color w:val="auto"/>
          <w:sz w:val="22"/>
          <w:szCs w:val="22"/>
          <w:lang w:val="en-PH"/>
        </w:rPr>
        <w:t>duration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 xml:space="preserve"> recorded in the database exactly correspond with billed amounts and aggregate sales reports.</w:t>
      </w:r>
    </w:p>
    <w:p w14:paraId="066676CE">
      <w:pPr>
        <w:spacing w:before="80" w:after="80"/>
        <w:ind w:left="400"/>
        <w:jc w:val="both"/>
        <w:rPr>
          <w:rFonts w:hint="default" w:cs="Times New Roman" w:asciiTheme="minorAscii" w:hAnsiTheme="minorAscii"/>
          <w:color w:val="auto"/>
        </w:rPr>
      </w:pP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5. </w:t>
      </w:r>
      <w:r>
        <w:rPr>
          <w:rFonts w:hint="default" w:cs="Times New Roman" w:asciiTheme="minorAscii" w:hAnsiTheme="minorAscii"/>
          <w:b/>
          <w:bCs/>
          <w:color w:val="auto"/>
          <w:sz w:val="22"/>
          <w:szCs w:val="22"/>
        </w:rPr>
        <w:t xml:space="preserve">User Acceptance Testing (UAT) in a Staging Network: </w:t>
      </w:r>
      <w:r>
        <w:rPr>
          <w:rFonts w:hint="default" w:cs="Times New Roman" w:asciiTheme="minorAscii" w:hAnsiTheme="minorAscii"/>
          <w:color w:val="auto"/>
          <w:sz w:val="22"/>
          <w:szCs w:val="22"/>
        </w:rPr>
        <w:t>Allowing independent testers and café cashiers to execute real-life cashier shifts in a staging environment to validate usability, error recovery, and system robustness prior to final release.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BCB89"/>
    <w:multiLevelType w:val="singleLevel"/>
    <w:tmpl w:val="80DBCB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E3B0053"/>
    <w:rsid w:val="737C1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1004</Words>
  <Characters>6461</Characters>
  <TotalTime>11</TotalTime>
  <ScaleCrop>false</ScaleCrop>
  <LinksUpToDate>false</LinksUpToDate>
  <CharactersWithSpaces>7393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2026-08-22T02:05:00Z</dcterms:created>
  <dc:creator>Un-named</dc:creator>
  <cp:lastModifiedBy>Brian Joshua Tanael</cp:lastModifiedBy>
  <dcterms:modified xsi:type="dcterms:W3CDTF">2026-08-22T02:20:08Z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eyJoZGlkIjoiNzIxMmE1YjBjMDQzNWYxYWIzMDU1ZjhlYjI0MjdjMzQiLCJ1c2VySWQiOiI3MDQ4NjYxNjEwMTcifQ==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5DD8A8B3F7224CA5B6E057B54C0F5740_13</vt:lpwstr>
  </property>
</Properties>
</file>