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B3A6B"/>
          <w:sz w:val="56"/>
          <w:szCs w:val="56"/>
        </w:rPr>
        <w:t xml:space="preserve">QA TEST PLAN</w:t>
      </w:r>
    </w:p>
    <w:p>
      <w:pPr>
        <w:spacing w:after="60"/>
        <w:jc w:val="center"/>
      </w:pPr>
      <w:r>
        <w:rPr>
          <w:rFonts w:ascii="Arial" w:cs="Arial" w:eastAsia="Arial" w:hAnsi="Arial"/>
          <w:color w:val="2563EB"/>
          <w:sz w:val="28"/>
          <w:szCs w:val="28"/>
        </w:rPr>
        <w:t xml:space="preserve">Web Application — Manual &amp; Automation Testing</w:t>
      </w:r>
    </w:p>
    <w:p>
      <w:pPr>
        <w:spacing w:after="60"/>
        <w:jc w:val="center"/>
      </w:pPr>
      <w:r>
        <w:rPr>
          <w:rFonts w:ascii="Arial" w:cs="Arial" w:eastAsia="Arial" w:hAnsi="Arial"/>
          <w:color w:val="64748B"/>
          <w:sz w:val="22"/>
          <w:szCs w:val="22"/>
        </w:rPr>
        <w:t xml:space="preserve">Prepared by: Brian Scott McCarthy, Senior QA Lead</w:t>
      </w:r>
    </w:p>
    <w:p>
      <w:pPr>
        <w:spacing w:after="200"/>
        <w:jc w:val="center"/>
      </w:pPr>
      <w:r>
        <w:rPr>
          <w:rFonts w:ascii="Arial" w:cs="Arial" w:eastAsia="Arial" w:hAnsi="Arial"/>
          <w:i/>
          <w:iCs/>
          <w:color w:val="64748B"/>
          <w:sz w:val="20"/>
          <w:szCs w:val="20"/>
        </w:rPr>
        <w:t xml:space="preserve">Tools: Azure DevOps  •  Playwright  •  Selenium  •  Postman  •  Cypress</w:t>
      </w:r>
    </w:p>
    <w:p>
      <w:pPr>
        <w:pStyle w:val="Heading1"/>
        <w:pBdr>
          <w:bottom w:val="single" w:color="2563EB" w:sz="8" w:space="4"/>
        </w:pBdr>
        <w:spacing w:after="160" w:before="360"/>
      </w:pPr>
      <w:r>
        <w:rPr>
          <w:rFonts w:ascii="Arial" w:cs="Arial" w:eastAsia="Arial" w:hAnsi="Arial"/>
          <w:b/>
          <w:bCs/>
          <w:color w:val="1B3A6B"/>
          <w:sz w:val="36"/>
          <w:szCs w:val="36"/>
        </w:rPr>
        <w:t xml:space="preserve">1. Introduction &amp; Purpose</w:t>
      </w:r>
    </w:p>
    <w:p>
      <w:pPr>
        <w:spacing w:after="100"/>
      </w:pPr>
      <w:r>
        <w:rPr>
          <w:rFonts w:ascii="Arial" w:cs="Arial" w:eastAsia="Arial" w:hAnsi="Arial"/>
          <w:color w:val="1E293B"/>
          <w:sz w:val="20"/>
          <w:szCs w:val="20"/>
        </w:rPr>
        <w:t xml:space="preserve">This Test Plan defines the overall quality assurance strategy, scope, objectives, resource requirements, schedule, and risk mitigation approach for web application testing at Learning Experts Group and Rooms To Go Inc. It governs both manual exploratory testing and automated regression suites managed in Azure DevOps.</w:t>
      </w:r>
    </w:p>
    <w:p>
      <w:pPr>
        <w:spacing w:after="100"/>
      </w:pPr>
      <w:r>
        <w:rPr>
          <w:rFonts w:ascii="Arial" w:cs="Arial" w:eastAsia="Arial" w:hAnsi="Arial"/>
          <w:color w:val="1E293B"/>
          <w:sz w:val="20"/>
          <w:szCs w:val="20"/>
        </w:rPr>
        <w:t xml:space="preserve">All test artifacts — test plans, test suites, test cases, and defects — are tracked and reported in Azure DevOps. CI/CD pipeline integrations via GitHub Actions and Jenkins trigger automated suites on every pull request and nightly build.</w:t>
      </w:r>
    </w:p>
    <w:p>
      <w:pPr>
        <w:spacing w:after="120"/>
      </w:pPr>
    </w:p>
    <w:p>
      <w:pPr>
        <w:pStyle w:val="Heading1"/>
        <w:pBdr>
          <w:bottom w:val="single" w:color="2563EB" w:sz="8" w:space="4"/>
        </w:pBdr>
        <w:spacing w:after="160" w:before="360"/>
      </w:pPr>
      <w:r>
        <w:rPr>
          <w:rFonts w:ascii="Arial" w:cs="Arial" w:eastAsia="Arial" w:hAnsi="Arial"/>
          <w:b/>
          <w:bCs/>
          <w:color w:val="1B3A6B"/>
          <w:sz w:val="36"/>
          <w:szCs w:val="36"/>
        </w:rPr>
        <w:t xml:space="preserve">2. Test Objectives</w:t>
      </w:r>
    </w:p>
    <w:p>
      <w:pPr>
        <w:pStyle w:val="ListParagraph"/>
        <w:numPr>
          <w:ilvl w:val="0"/>
          <w:numId w:val="2"/>
        </w:numPr>
        <w:spacing w:after="70"/>
      </w:pPr>
      <w:r>
        <w:rPr>
          <w:rFonts w:ascii="Arial" w:cs="Arial" w:eastAsia="Arial" w:hAnsi="Arial"/>
          <w:color w:val="1E293B"/>
          <w:sz w:val="20"/>
          <w:szCs w:val="20"/>
        </w:rPr>
        <w:t xml:space="preserve">Validate all functional requirements against acceptance criteria defined in Azure DevOps User Stories and Tasks.</w:t>
      </w:r>
    </w:p>
    <w:p>
      <w:pPr>
        <w:pStyle w:val="ListParagraph"/>
        <w:numPr>
          <w:ilvl w:val="0"/>
          <w:numId w:val="2"/>
        </w:numPr>
        <w:spacing w:after="70"/>
      </w:pPr>
      <w:r>
        <w:rPr>
          <w:rFonts w:ascii="Arial" w:cs="Arial" w:eastAsia="Arial" w:hAnsi="Arial"/>
          <w:color w:val="1E293B"/>
          <w:sz w:val="20"/>
          <w:szCs w:val="20"/>
        </w:rPr>
        <w:t xml:space="preserve">Ensure cross-browser compatibility across Chrome, Firefox, Safari, and Edge using Playwright cross-browser execution.</w:t>
      </w:r>
    </w:p>
    <w:p>
      <w:pPr>
        <w:pStyle w:val="ListParagraph"/>
        <w:numPr>
          <w:ilvl w:val="0"/>
          <w:numId w:val="2"/>
        </w:numPr>
        <w:spacing w:after="70"/>
      </w:pPr>
      <w:r>
        <w:rPr>
          <w:rFonts w:ascii="Arial" w:cs="Arial" w:eastAsia="Arial" w:hAnsi="Arial"/>
          <w:color w:val="1E293B"/>
          <w:sz w:val="20"/>
          <w:szCs w:val="20"/>
        </w:rPr>
        <w:t xml:space="preserve">Verify API contract integrity and back-end service reliability using Postman and REST Assured before UI testing begins (shift-left).</w:t>
      </w:r>
    </w:p>
    <w:p>
      <w:pPr>
        <w:pStyle w:val="ListParagraph"/>
        <w:numPr>
          <w:ilvl w:val="0"/>
          <w:numId w:val="2"/>
        </w:numPr>
        <w:spacing w:after="70"/>
      </w:pPr>
      <w:r>
        <w:rPr>
          <w:rFonts w:ascii="Arial" w:cs="Arial" w:eastAsia="Arial" w:hAnsi="Arial"/>
          <w:color w:val="1E293B"/>
          <w:sz w:val="20"/>
          <w:szCs w:val="20"/>
        </w:rPr>
        <w:t xml:space="preserve">Confirm data integrity via SQL validation against order management, learner completion, and inventory databases.</w:t>
      </w:r>
    </w:p>
    <w:p>
      <w:pPr>
        <w:pStyle w:val="ListParagraph"/>
        <w:numPr>
          <w:ilvl w:val="0"/>
          <w:numId w:val="2"/>
        </w:numPr>
        <w:spacing w:after="70"/>
      </w:pPr>
      <w:r>
        <w:rPr>
          <w:rFonts w:ascii="Arial" w:cs="Arial" w:eastAsia="Arial" w:hAnsi="Arial"/>
          <w:color w:val="1E293B"/>
          <w:sz w:val="20"/>
          <w:szCs w:val="20"/>
        </w:rPr>
        <w:t xml:space="preserve">Achieve a minimum of 85% automated regression coverage for all P1/P2 user journeys.</w:t>
      </w:r>
    </w:p>
    <w:p>
      <w:pPr>
        <w:pStyle w:val="ListParagraph"/>
        <w:numPr>
          <w:ilvl w:val="0"/>
          <w:numId w:val="2"/>
        </w:numPr>
        <w:spacing w:after="70"/>
      </w:pPr>
      <w:r>
        <w:rPr>
          <w:rFonts w:ascii="Arial" w:cs="Arial" w:eastAsia="Arial" w:hAnsi="Arial"/>
          <w:color w:val="1E293B"/>
          <w:sz w:val="20"/>
          <w:szCs w:val="20"/>
        </w:rPr>
        <w:t xml:space="preserve">Maintain zero P1 defect escapes to production and reduce overall defect escape rate sprint-over-sprint.</w:t>
      </w:r>
    </w:p>
    <w:p>
      <w:pPr>
        <w:spacing w:after="120"/>
      </w:pPr>
    </w:p>
    <w:p>
      <w:pPr>
        <w:pStyle w:val="Heading1"/>
        <w:pBdr>
          <w:bottom w:val="single" w:color="2563EB" w:sz="8" w:space="4"/>
        </w:pBdr>
        <w:spacing w:after="160" w:before="360"/>
      </w:pPr>
      <w:r>
        <w:rPr>
          <w:rFonts w:ascii="Arial" w:cs="Arial" w:eastAsia="Arial" w:hAnsi="Arial"/>
          <w:b/>
          <w:bCs/>
          <w:color w:val="1B3A6B"/>
          <w:sz w:val="36"/>
          <w:szCs w:val="36"/>
        </w:rPr>
        <w:t xml:space="preserve">3. Scope</w:t>
      </w:r>
    </w:p>
    <w:p>
      <w:pPr>
        <w:pStyle w:val="Heading2"/>
        <w:spacing w:after="100" w:before="240"/>
      </w:pPr>
      <w:r>
        <w:rPr>
          <w:rFonts w:ascii="Arial" w:cs="Arial" w:eastAsia="Arial" w:hAnsi="Arial"/>
          <w:b/>
          <w:bCs/>
          <w:color w:val="1B3A6B"/>
          <w:sz w:val="26"/>
          <w:szCs w:val="26"/>
        </w:rPr>
        <w:t xml:space="preserve">3.1 In Scope</w:t>
      </w:r>
    </w:p>
    <w:p>
      <w:pPr>
        <w:pStyle w:val="ListParagraph"/>
        <w:numPr>
          <w:ilvl w:val="0"/>
          <w:numId w:val="2"/>
        </w:numPr>
        <w:spacing w:after="70"/>
      </w:pPr>
      <w:r>
        <w:rPr>
          <w:rFonts w:ascii="Arial" w:cs="Arial" w:eastAsia="Arial" w:hAnsi="Arial"/>
          <w:color w:val="1E293B"/>
          <w:sz w:val="20"/>
          <w:szCs w:val="20"/>
        </w:rPr>
        <w:t xml:space="preserve">Functional UI testing — all web application modules and user-facing workflows</w:t>
      </w:r>
    </w:p>
    <w:p>
      <w:pPr>
        <w:pStyle w:val="ListParagraph"/>
        <w:numPr>
          <w:ilvl w:val="0"/>
          <w:numId w:val="2"/>
        </w:numPr>
        <w:spacing w:after="70"/>
      </w:pPr>
      <w:r>
        <w:rPr>
          <w:rFonts w:ascii="Arial" w:cs="Arial" w:eastAsia="Arial" w:hAnsi="Arial"/>
          <w:color w:val="1E293B"/>
          <w:sz w:val="20"/>
          <w:szCs w:val="20"/>
        </w:rPr>
        <w:t xml:space="preserve">API testing — REST endpoints via Postman collections and REST Assured automation</w:t>
      </w:r>
    </w:p>
    <w:p>
      <w:pPr>
        <w:pStyle w:val="ListParagraph"/>
        <w:numPr>
          <w:ilvl w:val="0"/>
          <w:numId w:val="2"/>
        </w:numPr>
        <w:spacing w:after="70"/>
      </w:pPr>
      <w:r>
        <w:rPr>
          <w:rFonts w:ascii="Arial" w:cs="Arial" w:eastAsia="Arial" w:hAnsi="Arial"/>
          <w:color w:val="1E293B"/>
          <w:sz w:val="20"/>
          <w:szCs w:val="20"/>
        </w:rPr>
        <w:t xml:space="preserve">Regression testing — full and partial regression suites executed per sprint and pre-release</w:t>
      </w:r>
    </w:p>
    <w:p>
      <w:pPr>
        <w:pStyle w:val="ListParagraph"/>
        <w:numPr>
          <w:ilvl w:val="0"/>
          <w:numId w:val="2"/>
        </w:numPr>
        <w:spacing w:after="70"/>
      </w:pPr>
      <w:r>
        <w:rPr>
          <w:rFonts w:ascii="Arial" w:cs="Arial" w:eastAsia="Arial" w:hAnsi="Arial"/>
          <w:color w:val="1E293B"/>
          <w:sz w:val="20"/>
          <w:szCs w:val="20"/>
        </w:rPr>
        <w:t xml:space="preserve">Cross-browser testing — Chromium, Firefox, WebKit (Playwright); Chrome, Firefox (Selenium Grid)</w:t>
      </w:r>
    </w:p>
    <w:p>
      <w:pPr>
        <w:pStyle w:val="ListParagraph"/>
        <w:numPr>
          <w:ilvl w:val="0"/>
          <w:numId w:val="2"/>
        </w:numPr>
        <w:spacing w:after="70"/>
      </w:pPr>
      <w:r>
        <w:rPr>
          <w:rFonts w:ascii="Arial" w:cs="Arial" w:eastAsia="Arial" w:hAnsi="Arial"/>
          <w:color w:val="1E293B"/>
          <w:sz w:val="20"/>
          <w:szCs w:val="20"/>
        </w:rPr>
        <w:t xml:space="preserve">Mobile responsive testing — iOS Safari, Android Chrome (BrowserStack integration)</w:t>
      </w:r>
    </w:p>
    <w:p>
      <w:pPr>
        <w:pStyle w:val="ListParagraph"/>
        <w:numPr>
          <w:ilvl w:val="0"/>
          <w:numId w:val="2"/>
        </w:numPr>
        <w:spacing w:after="70"/>
      </w:pPr>
      <w:r>
        <w:rPr>
          <w:rFonts w:ascii="Arial" w:cs="Arial" w:eastAsia="Arial" w:hAnsi="Arial"/>
          <w:color w:val="1E293B"/>
          <w:sz w:val="20"/>
          <w:szCs w:val="20"/>
        </w:rPr>
        <w:t xml:space="preserve">SQL back-end data validation — database record integrity post-transaction</w:t>
      </w:r>
    </w:p>
    <w:p>
      <w:pPr>
        <w:pStyle w:val="ListParagraph"/>
        <w:numPr>
          <w:ilvl w:val="0"/>
          <w:numId w:val="2"/>
        </w:numPr>
        <w:spacing w:after="70"/>
      </w:pPr>
      <w:r>
        <w:rPr>
          <w:rFonts w:ascii="Arial" w:cs="Arial" w:eastAsia="Arial" w:hAnsi="Arial"/>
          <w:color w:val="1E293B"/>
          <w:sz w:val="20"/>
          <w:szCs w:val="20"/>
        </w:rPr>
        <w:t xml:space="preserve">Performance smoke testing — page load benchmarks on critical paths</w:t>
      </w:r>
    </w:p>
    <w:p>
      <w:pPr>
        <w:pStyle w:val="ListParagraph"/>
        <w:numPr>
          <w:ilvl w:val="0"/>
          <w:numId w:val="2"/>
        </w:numPr>
        <w:spacing w:after="70"/>
      </w:pPr>
      <w:r>
        <w:rPr>
          <w:rFonts w:ascii="Arial" w:cs="Arial" w:eastAsia="Arial" w:hAnsi="Arial"/>
          <w:color w:val="1E293B"/>
          <w:sz w:val="20"/>
          <w:szCs w:val="20"/>
        </w:rPr>
        <w:t xml:space="preserve">Security smoke — authentication flows, session management, input sanitization</w:t>
      </w:r>
    </w:p>
    <w:p>
      <w:pPr>
        <w:spacing w:after="120"/>
      </w:pPr>
    </w:p>
    <w:p>
      <w:pPr>
        <w:pStyle w:val="Heading2"/>
        <w:spacing w:after="100" w:before="240"/>
      </w:pPr>
      <w:r>
        <w:rPr>
          <w:rFonts w:ascii="Arial" w:cs="Arial" w:eastAsia="Arial" w:hAnsi="Arial"/>
          <w:b/>
          <w:bCs/>
          <w:color w:val="1B3A6B"/>
          <w:sz w:val="26"/>
          <w:szCs w:val="26"/>
        </w:rPr>
        <w:t xml:space="preserve">3.2 Out of Scope</w:t>
      </w:r>
    </w:p>
    <w:p>
      <w:pPr>
        <w:pStyle w:val="ListParagraph"/>
        <w:numPr>
          <w:ilvl w:val="0"/>
          <w:numId w:val="2"/>
        </w:numPr>
        <w:spacing w:after="70"/>
      </w:pPr>
      <w:r>
        <w:rPr>
          <w:rFonts w:ascii="Arial" w:cs="Arial" w:eastAsia="Arial" w:hAnsi="Arial"/>
          <w:color w:val="1E293B"/>
          <w:sz w:val="20"/>
          <w:szCs w:val="20"/>
        </w:rPr>
        <w:t xml:space="preserve">Full load/stress performance testing (handled by dedicated performance team)</w:t>
      </w:r>
    </w:p>
    <w:p>
      <w:pPr>
        <w:pStyle w:val="ListParagraph"/>
        <w:numPr>
          <w:ilvl w:val="0"/>
          <w:numId w:val="2"/>
        </w:numPr>
        <w:spacing w:after="70"/>
      </w:pPr>
      <w:r>
        <w:rPr>
          <w:rFonts w:ascii="Arial" w:cs="Arial" w:eastAsia="Arial" w:hAnsi="Arial"/>
          <w:color w:val="1E293B"/>
          <w:sz w:val="20"/>
          <w:szCs w:val="20"/>
        </w:rPr>
        <w:t xml:space="preserve">Hardware/firmware testing</w:t>
      </w:r>
    </w:p>
    <w:p>
      <w:pPr>
        <w:pStyle w:val="ListParagraph"/>
        <w:numPr>
          <w:ilvl w:val="0"/>
          <w:numId w:val="2"/>
        </w:numPr>
        <w:spacing w:after="70"/>
      </w:pPr>
      <w:r>
        <w:rPr>
          <w:rFonts w:ascii="Arial" w:cs="Arial" w:eastAsia="Arial" w:hAnsi="Arial"/>
          <w:color w:val="1E293B"/>
          <w:sz w:val="20"/>
          <w:szCs w:val="20"/>
        </w:rPr>
        <w:t xml:space="preserve">Third-party vendor system internal testing</w:t>
      </w:r>
    </w:p>
    <w:p>
      <w:pPr>
        <w:spacing w:after="120"/>
      </w:pPr>
    </w:p>
    <w:p>
      <w:pPr>
        <w:pStyle w:val="Heading1"/>
        <w:pBdr>
          <w:bottom w:val="single" w:color="2563EB" w:sz="8" w:space="4"/>
        </w:pBdr>
        <w:spacing w:after="160" w:before="360"/>
      </w:pPr>
      <w:r>
        <w:rPr>
          <w:rFonts w:ascii="Arial" w:cs="Arial" w:eastAsia="Arial" w:hAnsi="Arial"/>
          <w:b/>
          <w:bCs/>
          <w:color w:val="1B3A6B"/>
          <w:sz w:val="36"/>
          <w:szCs w:val="36"/>
        </w:rPr>
        <w:t xml:space="preserve">4. Test Strategy</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000"/>
        <w:gridCol w:w="1460"/>
      </w:tblGrid>
      <w:tr>
        <w:trPr>
          <w:tblHeader/>
        </w:trPr>
        <w:tc>
          <w:tcPr>
            <w:tcW w:type="dxa" w:w="15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Testing Type</w:t>
            </w:r>
          </w:p>
        </w:tc>
        <w:tc>
          <w:tcPr>
            <w:tcW w:type="dxa" w:w="24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Approach</w:t>
            </w:r>
          </w:p>
        </w:tc>
        <w:tc>
          <w:tcPr>
            <w:tcW w:type="dxa" w:w="2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Tools</w:t>
            </w:r>
          </w:p>
        </w:tc>
        <w:tc>
          <w:tcPr>
            <w:tcW w:type="dxa" w:w="14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Environment</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Functional / Manual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Exploratory + scripted test cases executed against acceptance criteria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Azure DevOps Test Plans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QA, Staging</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Automation – UI</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Playwright (TypeScript) framework; page-object model; parallel execution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Playwright, GitHub Actions</w:t>
            </w:r>
          </w:p>
        </w:tc>
        <w:tc>
          <w:tcPr>
            <w:tcW w:type="dxa" w:w="1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QA, Staging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Automation – UI (Legacy)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Selenium WebDriver (Java) suite; TestNG + Maven; Selenium Grid 8 envs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Selenium, Jenkins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Multi-env</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API Testing</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Postman collections + REST Assured Java automation; contract &amp; regression</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Postman, REST Assured</w:t>
            </w:r>
          </w:p>
        </w:tc>
        <w:tc>
          <w:tcPr>
            <w:tcW w:type="dxa" w:w="1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QA, Staging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Regression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Full regression pre-release; partial per sprint on impacted paths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Playwright + Azure DevOps</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Staging</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Cross-Browser</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Multi-browser parallel runs via Playwright and Selenium Grid</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Playwright, Selenium Grid</w:t>
            </w:r>
          </w:p>
        </w:tc>
        <w:tc>
          <w:tcPr>
            <w:tcW w:type="dxa" w:w="1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QA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Mobile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Responsive UI validation; device emulation + BrowserStack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Playwright, BrowserStack</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QA</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Data Validation</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SQL queries validating DB state post-transaction/API call</w:t>
            </w:r>
          </w:p>
        </w:tc>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SSMS, pgAdmin</w:t>
            </w:r>
          </w:p>
        </w:tc>
        <w:tc>
          <w:tcPr>
            <w:tcW w:type="dxa" w:w="1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QA DB</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Security Smoke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Auth flows, session tokens, CSRF, input sanitation spot checks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Manual + Postman</w:t>
            </w:r>
          </w:p>
        </w:tc>
        <w:tc>
          <w:tcPr>
            <w:tcW w:type="dxa" w:w="1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Staging</w:t>
            </w:r>
          </w:p>
        </w:tc>
      </w:tr>
    </w:tbl>
    <w:p>
      <w:pPr>
        <w:spacing w:after="120"/>
      </w:pPr>
    </w:p>
    <w:p>
      <w:pPr>
        <w:pStyle w:val="Heading1"/>
        <w:pBdr>
          <w:bottom w:val="single" w:color="2563EB" w:sz="8" w:space="4"/>
        </w:pBdr>
        <w:spacing w:after="160" w:before="360"/>
      </w:pPr>
      <w:r>
        <w:rPr>
          <w:rFonts w:ascii="Arial" w:cs="Arial" w:eastAsia="Arial" w:hAnsi="Arial"/>
          <w:b/>
          <w:bCs/>
          <w:color w:val="1B3A6B"/>
          <w:sz w:val="36"/>
          <w:szCs w:val="36"/>
        </w:rPr>
        <w:t xml:space="preserve">5. Azure DevOps Test Management Structure</w:t>
      </w:r>
    </w:p>
    <w:p>
      <w:pPr>
        <w:spacing w:after="100"/>
      </w:pPr>
      <w:r>
        <w:rPr>
          <w:rFonts w:ascii="Arial" w:cs="Arial" w:eastAsia="Arial" w:hAnsi="Arial"/>
          <w:color w:val="1E293B"/>
          <w:sz w:val="20"/>
          <w:szCs w:val="20"/>
        </w:rPr>
        <w:t xml:space="preserve">All test artifacts are organized in Azure DevOps under the following hierarchy:</w:t>
      </w:r>
    </w:p>
    <w:p>
      <w:pPr>
        <w:spacing w:after="120"/>
      </w:pP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560"/>
      </w:tblGrid>
      <w:tr>
        <w:trPr>
          <w:tblHeader/>
        </w:trPr>
        <w:tc>
          <w:tcPr>
            <w:tcW w:type="dxa" w:w="2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ADO Artifact</w:t>
            </w:r>
          </w:p>
        </w:tc>
        <w:tc>
          <w:tcPr>
            <w:tcW w:type="dxa" w:w="2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Purpose</w:t>
            </w:r>
          </w:p>
        </w:tc>
        <w:tc>
          <w:tcPr>
            <w:tcW w:type="dxa" w:w="25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Naming Convention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Test Plan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One plan per sprint / release. Contains all test suites for that cycle.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TP-[AppName]-Sprint[##]-[Year]</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Static Test Suite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Groups test cases by feature area (e.g. Authentication, Checkout).</w:t>
            </w:r>
          </w:p>
        </w:tc>
        <w:tc>
          <w:tcPr>
            <w:tcW w:type="dxa" w:w="2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TS-[Feature]-[Type] e.g. TS-Auth-Functional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Requirement-Based Suite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Auto-linked to ADO User Stories; cases trace to acceptance criteria.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Linked to US-##### in ADO</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Query-Based Suite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Dynamic suite pulling all active P1 cases or all failed cases for triage.</w:t>
            </w:r>
          </w:p>
        </w:tc>
        <w:tc>
          <w:tcPr>
            <w:tcW w:type="dxa" w:w="2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QBS-P1-Active / QBS-Failed-Sprint##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Test Case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Individual test scenario with steps, expected results, and data.</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TC-[####]-[Short Description]</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Bug / Defect</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Logged directly from failed test run; linked to test case + user story.</w:t>
            </w:r>
          </w:p>
        </w:tc>
        <w:tc>
          <w:tcPr>
            <w:tcW w:type="dxa" w:w="2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BUG-[####]-[Short Description]</w:t>
            </w:r>
          </w:p>
        </w:tc>
      </w:tr>
    </w:tbl>
    <w:p>
      <w:pPr>
        <w:spacing w:after="120"/>
      </w:pPr>
    </w:p>
    <w:p>
      <w:pPr>
        <w:pStyle w:val="Heading1"/>
        <w:pBdr>
          <w:bottom w:val="single" w:color="2563EB" w:sz="8" w:space="4"/>
        </w:pBdr>
        <w:spacing w:after="160" w:before="360"/>
      </w:pPr>
      <w:r>
        <w:rPr>
          <w:rFonts w:ascii="Arial" w:cs="Arial" w:eastAsia="Arial" w:hAnsi="Arial"/>
          <w:b/>
          <w:bCs/>
          <w:color w:val="1B3A6B"/>
          <w:sz w:val="36"/>
          <w:szCs w:val="36"/>
        </w:rPr>
        <w:t xml:space="preserve">6. Entry &amp; Exit Criteria</w:t>
      </w:r>
    </w:p>
    <w:p>
      <w:pPr>
        <w:pStyle w:val="Heading2"/>
        <w:spacing w:after="100" w:before="240"/>
      </w:pPr>
      <w:r>
        <w:rPr>
          <w:rFonts w:ascii="Arial" w:cs="Arial" w:eastAsia="Arial" w:hAnsi="Arial"/>
          <w:b/>
          <w:bCs/>
          <w:color w:val="1B3A6B"/>
          <w:sz w:val="26"/>
          <w:szCs w:val="26"/>
        </w:rPr>
        <w:t xml:space="preserve">6.1 Entry Criteria</w:t>
      </w:r>
    </w:p>
    <w:p>
      <w:pPr>
        <w:pStyle w:val="ListParagraph"/>
        <w:numPr>
          <w:ilvl w:val="0"/>
          <w:numId w:val="2"/>
        </w:numPr>
        <w:spacing w:after="70"/>
      </w:pPr>
      <w:r>
        <w:rPr>
          <w:rFonts w:ascii="Arial" w:cs="Arial" w:eastAsia="Arial" w:hAnsi="Arial"/>
          <w:color w:val="1E293B"/>
          <w:sz w:val="20"/>
          <w:szCs w:val="20"/>
        </w:rPr>
        <w:t xml:space="preserve">Development team has completed feature build and deployed to QA environment.</w:t>
      </w:r>
    </w:p>
    <w:p>
      <w:pPr>
        <w:pStyle w:val="ListParagraph"/>
        <w:numPr>
          <w:ilvl w:val="0"/>
          <w:numId w:val="2"/>
        </w:numPr>
        <w:spacing w:after="70"/>
      </w:pPr>
      <w:r>
        <w:rPr>
          <w:rFonts w:ascii="Arial" w:cs="Arial" w:eastAsia="Arial" w:hAnsi="Arial"/>
          <w:color w:val="1E293B"/>
          <w:sz w:val="20"/>
          <w:szCs w:val="20"/>
        </w:rPr>
        <w:t xml:space="preserve">Acceptance criteria are documented on the Azure DevOps User Story.</w:t>
      </w:r>
    </w:p>
    <w:p>
      <w:pPr>
        <w:pStyle w:val="ListParagraph"/>
        <w:numPr>
          <w:ilvl w:val="0"/>
          <w:numId w:val="2"/>
        </w:numPr>
        <w:spacing w:after="70"/>
      </w:pPr>
      <w:r>
        <w:rPr>
          <w:rFonts w:ascii="Arial" w:cs="Arial" w:eastAsia="Arial" w:hAnsi="Arial"/>
          <w:color w:val="1E293B"/>
          <w:sz w:val="20"/>
          <w:szCs w:val="20"/>
        </w:rPr>
        <w:t xml:space="preserve">Test cases authored and reviewed in Azure DevOps Test Plan for the sprint.</w:t>
      </w:r>
    </w:p>
    <w:p>
      <w:pPr>
        <w:pStyle w:val="ListParagraph"/>
        <w:numPr>
          <w:ilvl w:val="0"/>
          <w:numId w:val="2"/>
        </w:numPr>
        <w:spacing w:after="70"/>
      </w:pPr>
      <w:r>
        <w:rPr>
          <w:rFonts w:ascii="Arial" w:cs="Arial" w:eastAsia="Arial" w:hAnsi="Arial"/>
          <w:color w:val="1E293B"/>
          <w:sz w:val="20"/>
          <w:szCs w:val="20"/>
        </w:rPr>
        <w:t xml:space="preserve">Test data provisioned and environment smoke test passed.</w:t>
      </w:r>
    </w:p>
    <w:p>
      <w:pPr>
        <w:spacing w:after="120"/>
      </w:pPr>
    </w:p>
    <w:p>
      <w:pPr>
        <w:pStyle w:val="Heading2"/>
        <w:spacing w:after="100" w:before="240"/>
      </w:pPr>
      <w:r>
        <w:rPr>
          <w:rFonts w:ascii="Arial" w:cs="Arial" w:eastAsia="Arial" w:hAnsi="Arial"/>
          <w:b/>
          <w:bCs/>
          <w:color w:val="1B3A6B"/>
          <w:sz w:val="26"/>
          <w:szCs w:val="26"/>
        </w:rPr>
        <w:t xml:space="preserve">6.2 Exit Criteria</w:t>
      </w:r>
    </w:p>
    <w:p>
      <w:pPr>
        <w:pStyle w:val="ListParagraph"/>
        <w:numPr>
          <w:ilvl w:val="0"/>
          <w:numId w:val="2"/>
        </w:numPr>
        <w:spacing w:after="70"/>
      </w:pPr>
      <w:r>
        <w:rPr>
          <w:rFonts w:ascii="Arial" w:cs="Arial" w:eastAsia="Arial" w:hAnsi="Arial"/>
          <w:color w:val="1E293B"/>
          <w:sz w:val="20"/>
          <w:szCs w:val="20"/>
        </w:rPr>
        <w:t xml:space="preserve">100% of planned test cases executed.</w:t>
      </w:r>
    </w:p>
    <w:p>
      <w:pPr>
        <w:pStyle w:val="ListParagraph"/>
        <w:numPr>
          <w:ilvl w:val="0"/>
          <w:numId w:val="2"/>
        </w:numPr>
        <w:spacing w:after="70"/>
      </w:pPr>
      <w:r>
        <w:rPr>
          <w:rFonts w:ascii="Arial" w:cs="Arial" w:eastAsia="Arial" w:hAnsi="Arial"/>
          <w:color w:val="1E293B"/>
          <w:sz w:val="20"/>
          <w:szCs w:val="20"/>
        </w:rPr>
        <w:t xml:space="preserve">All P1 and P2 defects resolved and verified; P3/P4 defects triaged with accepted risk sign-off.</w:t>
      </w:r>
    </w:p>
    <w:p>
      <w:pPr>
        <w:pStyle w:val="ListParagraph"/>
        <w:numPr>
          <w:ilvl w:val="0"/>
          <w:numId w:val="2"/>
        </w:numPr>
        <w:spacing w:after="70"/>
      </w:pPr>
      <w:r>
        <w:rPr>
          <w:rFonts w:ascii="Arial" w:cs="Arial" w:eastAsia="Arial" w:hAnsi="Arial"/>
          <w:color w:val="1E293B"/>
          <w:sz w:val="20"/>
          <w:szCs w:val="20"/>
        </w:rPr>
        <w:t xml:space="preserve">Automated regression suite passing at 95%+ in CI pipeline on staging branch.</w:t>
      </w:r>
    </w:p>
    <w:p>
      <w:pPr>
        <w:pStyle w:val="ListParagraph"/>
        <w:numPr>
          <w:ilvl w:val="0"/>
          <w:numId w:val="2"/>
        </w:numPr>
        <w:spacing w:after="70"/>
      </w:pPr>
      <w:r>
        <w:rPr>
          <w:rFonts w:ascii="Arial" w:cs="Arial" w:eastAsia="Arial" w:hAnsi="Arial"/>
          <w:color w:val="1E293B"/>
          <w:sz w:val="20"/>
          <w:szCs w:val="20"/>
        </w:rPr>
        <w:t xml:space="preserve">Test summary report published in Azure DevOps and reviewed by Product Owner.</w:t>
      </w:r>
    </w:p>
    <w:p>
      <w:pPr>
        <w:pStyle w:val="ListParagraph"/>
        <w:numPr>
          <w:ilvl w:val="0"/>
          <w:numId w:val="2"/>
        </w:numPr>
        <w:spacing w:after="70"/>
      </w:pPr>
      <w:r>
        <w:rPr>
          <w:rFonts w:ascii="Arial" w:cs="Arial" w:eastAsia="Arial" w:hAnsi="Arial"/>
          <w:color w:val="1E293B"/>
          <w:sz w:val="20"/>
          <w:szCs w:val="20"/>
        </w:rPr>
        <w:t xml:space="preserve">Go/No-Go decision documented by QA Lead.</w:t>
      </w:r>
    </w:p>
    <w:p>
      <w:pPr>
        <w:spacing w:after="120"/>
      </w:pPr>
    </w:p>
    <w:p>
      <w:pPr>
        <w:pStyle w:val="Heading1"/>
        <w:pBdr>
          <w:bottom w:val="single" w:color="2563EB" w:sz="8" w:space="4"/>
        </w:pBdr>
        <w:spacing w:after="160" w:before="360"/>
      </w:pPr>
      <w:r>
        <w:rPr>
          <w:rFonts w:ascii="Arial" w:cs="Arial" w:eastAsia="Arial" w:hAnsi="Arial"/>
          <w:b/>
          <w:bCs/>
          <w:color w:val="1B3A6B"/>
          <w:sz w:val="36"/>
          <w:szCs w:val="36"/>
        </w:rPr>
        <w:t xml:space="preserve">7. Defect Management</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1500"/>
        <w:gridCol w:w="1360"/>
      </w:tblGrid>
      <w:tr>
        <w:trPr>
          <w:tblHeader/>
        </w:trPr>
        <w:tc>
          <w:tcPr>
            <w:tcW w:type="dxa" w:w="15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Severity</w:t>
            </w:r>
          </w:p>
        </w:tc>
        <w:tc>
          <w:tcPr>
            <w:tcW w:type="dxa" w:w="3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Definition</w:t>
            </w:r>
          </w:p>
        </w:tc>
        <w:tc>
          <w:tcPr>
            <w:tcW w:type="dxa" w:w="15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SLA to Fix</w:t>
            </w:r>
          </w:p>
        </w:tc>
        <w:tc>
          <w:tcPr>
            <w:tcW w:type="dxa" w:w="13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ADO Priority Tag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P1 – Critical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Blocks core functionality; no workaround. Release blocker.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Same sprint / hotfix</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Priority 1</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P2 – High</w:t>
            </w:r>
          </w:p>
        </w:tc>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Major feature broken; workaround exists but impacts UX significantly.</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Current sprint</w:t>
            </w:r>
          </w:p>
        </w:tc>
        <w:tc>
          <w:tcPr>
            <w:tcW w:type="dxa" w:w="1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Priority 2</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P3 – 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Feature partially broken; workaround available; moderate UX impact.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Next sprint</w:t>
            </w:r>
          </w:p>
        </w:tc>
        <w:tc>
          <w:tcPr>
            <w:tcW w:type="dxa" w:w="1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Priority 3</w:t>
            </w:r>
          </w:p>
        </w:tc>
      </w:tr>
      <w:tr>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P4 – Low</w:t>
            </w:r>
          </w:p>
        </w:tc>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Minor cosmetic or edge-case issue; minimal user impact.</w:t>
            </w:r>
          </w:p>
        </w:tc>
        <w:tc>
          <w:tcPr>
            <w:tcW w:type="dxa" w:w="15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Backlog grooming</w:t>
            </w:r>
          </w:p>
        </w:tc>
        <w:tc>
          <w:tcPr>
            <w:tcW w:type="dxa" w:w="13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Priority 4</w:t>
            </w:r>
          </w:p>
        </w:tc>
      </w:tr>
    </w:tbl>
    <w:p>
      <w:pPr>
        <w:spacing w:after="120"/>
      </w:pPr>
    </w:p>
    <w:p>
      <w:pPr>
        <w:spacing w:after="100"/>
      </w:pPr>
      <w:r>
        <w:rPr>
          <w:rFonts w:ascii="Arial" w:cs="Arial" w:eastAsia="Arial" w:hAnsi="Arial"/>
          <w:color w:val="1E293B"/>
          <w:sz w:val="20"/>
          <w:szCs w:val="20"/>
        </w:rPr>
        <w:t xml:space="preserve">Defects are logged in Azure DevOps with: reproduction steps, environment, browser/OS, screenshots or video, severity, linked test case, and linked User Story. All P1 defects trigger immediate Slack notification to Dev Lead and Product Owner.</w:t>
      </w:r>
    </w:p>
    <w:p>
      <w:pPr>
        <w:spacing w:after="120"/>
      </w:pPr>
    </w:p>
    <w:p>
      <w:pPr>
        <w:pStyle w:val="Heading1"/>
        <w:pBdr>
          <w:bottom w:val="single" w:color="2563EB" w:sz="8" w:space="4"/>
        </w:pBdr>
        <w:spacing w:after="160" w:before="360"/>
      </w:pPr>
      <w:r>
        <w:rPr>
          <w:rFonts w:ascii="Arial" w:cs="Arial" w:eastAsia="Arial" w:hAnsi="Arial"/>
          <w:b/>
          <w:bCs/>
          <w:color w:val="1B3A6B"/>
          <w:sz w:val="36"/>
          <w:szCs w:val="36"/>
        </w:rPr>
        <w:t xml:space="preserve">8. Automation Framework Overview</w:t>
      </w:r>
    </w:p>
    <w:p>
      <w:pPr>
        <w:pStyle w:val="Heading2"/>
        <w:spacing w:after="100" w:before="240"/>
      </w:pPr>
      <w:r>
        <w:rPr>
          <w:rFonts w:ascii="Arial" w:cs="Arial" w:eastAsia="Arial" w:hAnsi="Arial"/>
          <w:b/>
          <w:bCs/>
          <w:color w:val="1B3A6B"/>
          <w:sz w:val="26"/>
          <w:szCs w:val="26"/>
        </w:rPr>
        <w:t xml:space="preserve">8.1 Playwright (TypeScript) — Primary Framework</w:t>
      </w:r>
    </w:p>
    <w:p>
      <w:pPr>
        <w:pStyle w:val="ListParagraph"/>
        <w:numPr>
          <w:ilvl w:val="0"/>
          <w:numId w:val="2"/>
        </w:numPr>
        <w:spacing w:after="70"/>
      </w:pPr>
      <w:r>
        <w:rPr>
          <w:rFonts w:ascii="Arial" w:cs="Arial" w:eastAsia="Arial" w:hAnsi="Arial"/>
          <w:color w:val="1E293B"/>
          <w:sz w:val="20"/>
          <w:szCs w:val="20"/>
        </w:rPr>
        <w:t xml:space="preserve">Architecture: Page Object Model (POM); one class per page, methods per interaction.</w:t>
      </w:r>
    </w:p>
    <w:p>
      <w:pPr>
        <w:pStyle w:val="ListParagraph"/>
        <w:numPr>
          <w:ilvl w:val="0"/>
          <w:numId w:val="2"/>
        </w:numPr>
        <w:spacing w:after="70"/>
      </w:pPr>
      <w:r>
        <w:rPr>
          <w:rFonts w:ascii="Arial" w:cs="Arial" w:eastAsia="Arial" w:hAnsi="Arial"/>
          <w:color w:val="1E293B"/>
          <w:sz w:val="20"/>
          <w:szCs w:val="20"/>
        </w:rPr>
        <w:t xml:space="preserve">Execution: Parallel via Playwright workers; cross-browser (Chromium, Firefox, WebKit).</w:t>
      </w:r>
    </w:p>
    <w:p>
      <w:pPr>
        <w:pStyle w:val="ListParagraph"/>
        <w:numPr>
          <w:ilvl w:val="0"/>
          <w:numId w:val="2"/>
        </w:numPr>
        <w:spacing w:after="70"/>
      </w:pPr>
      <w:r>
        <w:rPr>
          <w:rFonts w:ascii="Arial" w:cs="Arial" w:eastAsia="Arial" w:hAnsi="Arial"/>
          <w:color w:val="1E293B"/>
          <w:sz w:val="20"/>
          <w:szCs w:val="20"/>
        </w:rPr>
        <w:t xml:space="preserve">CI Integration: GitHub Actions workflow triggers on PR and nightly schedule.</w:t>
      </w:r>
    </w:p>
    <w:p>
      <w:pPr>
        <w:pStyle w:val="ListParagraph"/>
        <w:numPr>
          <w:ilvl w:val="0"/>
          <w:numId w:val="2"/>
        </w:numPr>
        <w:spacing w:after="70"/>
      </w:pPr>
      <w:r>
        <w:rPr>
          <w:rFonts w:ascii="Arial" w:cs="Arial" w:eastAsia="Arial" w:hAnsi="Arial"/>
          <w:color w:val="1E293B"/>
          <w:sz w:val="20"/>
          <w:szCs w:val="20"/>
        </w:rPr>
        <w:t xml:space="preserve">Reporting: Playwright HTML report + Azure DevOps pipeline test results dashboard.</w:t>
      </w:r>
    </w:p>
    <w:p>
      <w:pPr>
        <w:pStyle w:val="ListParagraph"/>
        <w:numPr>
          <w:ilvl w:val="0"/>
          <w:numId w:val="2"/>
        </w:numPr>
        <w:spacing w:after="70"/>
      </w:pPr>
      <w:r>
        <w:rPr>
          <w:rFonts w:ascii="Arial" w:cs="Arial" w:eastAsia="Arial" w:hAnsi="Arial"/>
          <w:color w:val="1E293B"/>
          <w:sz w:val="20"/>
          <w:szCs w:val="20"/>
        </w:rPr>
        <w:t xml:space="preserve">Repos: github.com/BrianGator/Playwright-Test-Automation-2-w-TypeScript</w:t>
      </w:r>
    </w:p>
    <w:p>
      <w:pPr>
        <w:spacing w:after="120"/>
      </w:pPr>
    </w:p>
    <w:p>
      <w:pPr>
        <w:pStyle w:val="Heading2"/>
        <w:spacing w:after="100" w:before="240"/>
      </w:pPr>
      <w:r>
        <w:rPr>
          <w:rFonts w:ascii="Arial" w:cs="Arial" w:eastAsia="Arial" w:hAnsi="Arial"/>
          <w:b/>
          <w:bCs/>
          <w:color w:val="1B3A6B"/>
          <w:sz w:val="26"/>
          <w:szCs w:val="26"/>
        </w:rPr>
        <w:t xml:space="preserve">8.2 Selenium WebDriver (Java) — Legacy/Parallel Suite</w:t>
      </w:r>
    </w:p>
    <w:p>
      <w:pPr>
        <w:pStyle w:val="ListParagraph"/>
        <w:numPr>
          <w:ilvl w:val="0"/>
          <w:numId w:val="2"/>
        </w:numPr>
        <w:spacing w:after="70"/>
      </w:pPr>
      <w:r>
        <w:rPr>
          <w:rFonts w:ascii="Arial" w:cs="Arial" w:eastAsia="Arial" w:hAnsi="Arial"/>
          <w:color w:val="1E293B"/>
          <w:sz w:val="20"/>
          <w:szCs w:val="20"/>
        </w:rPr>
        <w:t xml:space="preserve">Architecture: TestNG + Maven; Selenium Grid for multi-environment parallel execution.</w:t>
      </w:r>
    </w:p>
    <w:p>
      <w:pPr>
        <w:pStyle w:val="ListParagraph"/>
        <w:numPr>
          <w:ilvl w:val="0"/>
          <w:numId w:val="2"/>
        </w:numPr>
        <w:spacing w:after="70"/>
      </w:pPr>
      <w:r>
        <w:rPr>
          <w:rFonts w:ascii="Arial" w:cs="Arial" w:eastAsia="Arial" w:hAnsi="Arial"/>
          <w:color w:val="1E293B"/>
          <w:sz w:val="20"/>
          <w:szCs w:val="20"/>
        </w:rPr>
        <w:t xml:space="preserve">Coverage: 8+ application environments; regression + smoke suites.</w:t>
      </w:r>
    </w:p>
    <w:p>
      <w:pPr>
        <w:pStyle w:val="ListParagraph"/>
        <w:numPr>
          <w:ilvl w:val="0"/>
          <w:numId w:val="2"/>
        </w:numPr>
        <w:spacing w:after="70"/>
      </w:pPr>
      <w:r>
        <w:rPr>
          <w:rFonts w:ascii="Arial" w:cs="Arial" w:eastAsia="Arial" w:hAnsi="Arial"/>
          <w:color w:val="1E293B"/>
          <w:sz w:val="20"/>
          <w:szCs w:val="20"/>
        </w:rPr>
        <w:t xml:space="preserve">CI Integration: Jenkins pipeline; results published to Azure DevOps.</w:t>
      </w:r>
    </w:p>
    <w:p>
      <w:pPr>
        <w:pStyle w:val="ListParagraph"/>
        <w:numPr>
          <w:ilvl w:val="0"/>
          <w:numId w:val="2"/>
        </w:numPr>
        <w:spacing w:after="70"/>
      </w:pPr>
      <w:r>
        <w:rPr>
          <w:rFonts w:ascii="Arial" w:cs="Arial" w:eastAsia="Arial" w:hAnsi="Arial"/>
          <w:color w:val="1E293B"/>
          <w:sz w:val="20"/>
          <w:szCs w:val="20"/>
        </w:rPr>
        <w:t xml:space="preserve">Repos: github.com/BrianGator/Selenium-Test-Automation2-w-Java</w:t>
      </w:r>
    </w:p>
    <w:p>
      <w:pPr>
        <w:spacing w:after="120"/>
      </w:pPr>
    </w:p>
    <w:p>
      <w:pPr>
        <w:pStyle w:val="Heading2"/>
        <w:spacing w:after="100" w:before="240"/>
      </w:pPr>
      <w:r>
        <w:rPr>
          <w:rFonts w:ascii="Arial" w:cs="Arial" w:eastAsia="Arial" w:hAnsi="Arial"/>
          <w:b/>
          <w:bCs/>
          <w:color w:val="1B3A6B"/>
          <w:sz w:val="26"/>
          <w:szCs w:val="26"/>
        </w:rPr>
        <w:t xml:space="preserve">8.3 Cypress (JavaScript) — Component &amp; Integration</w:t>
      </w:r>
    </w:p>
    <w:p>
      <w:pPr>
        <w:pStyle w:val="ListParagraph"/>
        <w:numPr>
          <w:ilvl w:val="0"/>
          <w:numId w:val="2"/>
        </w:numPr>
        <w:spacing w:after="70"/>
      </w:pPr>
      <w:r>
        <w:rPr>
          <w:rFonts w:ascii="Arial" w:cs="Arial" w:eastAsia="Arial" w:hAnsi="Arial"/>
          <w:color w:val="1E293B"/>
          <w:sz w:val="20"/>
          <w:szCs w:val="20"/>
        </w:rPr>
        <w:t xml:space="preserve">Fast feedback for component-level and integration test scenarios.</w:t>
      </w:r>
    </w:p>
    <w:p>
      <w:pPr>
        <w:pStyle w:val="ListParagraph"/>
        <w:numPr>
          <w:ilvl w:val="0"/>
          <w:numId w:val="2"/>
        </w:numPr>
        <w:spacing w:after="70"/>
      </w:pPr>
      <w:r>
        <w:rPr>
          <w:rFonts w:ascii="Arial" w:cs="Arial" w:eastAsia="Arial" w:hAnsi="Arial"/>
          <w:color w:val="1E293B"/>
          <w:sz w:val="20"/>
          <w:szCs w:val="20"/>
        </w:rPr>
        <w:t xml:space="preserve">Intercept and stub network calls for isolated UI testing.</w:t>
      </w:r>
    </w:p>
    <w:p>
      <w:pPr>
        <w:pStyle w:val="ListParagraph"/>
        <w:numPr>
          <w:ilvl w:val="0"/>
          <w:numId w:val="2"/>
        </w:numPr>
        <w:spacing w:after="70"/>
      </w:pPr>
      <w:r>
        <w:rPr>
          <w:rFonts w:ascii="Arial" w:cs="Arial" w:eastAsia="Arial" w:hAnsi="Arial"/>
          <w:color w:val="1E293B"/>
          <w:sz w:val="20"/>
          <w:szCs w:val="20"/>
        </w:rPr>
        <w:t xml:space="preserve">Repo: github.com/BrianGator/Cypress-Automation-Testing-w-Javascript</w:t>
      </w:r>
    </w:p>
    <w:p>
      <w:pPr>
        <w:spacing w:after="120"/>
      </w:pPr>
    </w:p>
    <w:p>
      <w:pPr>
        <w:pStyle w:val="Heading2"/>
        <w:spacing w:after="100" w:before="240"/>
      </w:pPr>
      <w:r>
        <w:rPr>
          <w:rFonts w:ascii="Arial" w:cs="Arial" w:eastAsia="Arial" w:hAnsi="Arial"/>
          <w:b/>
          <w:bCs/>
          <w:color w:val="1B3A6B"/>
          <w:sz w:val="26"/>
          <w:szCs w:val="26"/>
        </w:rPr>
        <w:t xml:space="preserve">8.4 Python PyTest — API &amp; Data Validation Scripts</w:t>
      </w:r>
    </w:p>
    <w:p>
      <w:pPr>
        <w:pStyle w:val="ListParagraph"/>
        <w:numPr>
          <w:ilvl w:val="0"/>
          <w:numId w:val="2"/>
        </w:numPr>
        <w:spacing w:after="70"/>
      </w:pPr>
      <w:r>
        <w:rPr>
          <w:rFonts w:ascii="Arial" w:cs="Arial" w:eastAsia="Arial" w:hAnsi="Arial"/>
          <w:color w:val="1E293B"/>
          <w:sz w:val="20"/>
          <w:szCs w:val="20"/>
        </w:rPr>
        <w:t xml:space="preserve">Lightweight API assertion scripts and SQL data-validation automation.</w:t>
      </w:r>
    </w:p>
    <w:p>
      <w:pPr>
        <w:pStyle w:val="ListParagraph"/>
        <w:numPr>
          <w:ilvl w:val="0"/>
          <w:numId w:val="2"/>
        </w:numPr>
        <w:spacing w:after="70"/>
      </w:pPr>
      <w:r>
        <w:rPr>
          <w:rFonts w:ascii="Arial" w:cs="Arial" w:eastAsia="Arial" w:hAnsi="Arial"/>
          <w:color w:val="1E293B"/>
          <w:sz w:val="20"/>
          <w:szCs w:val="20"/>
        </w:rPr>
        <w:t xml:space="preserve">Repo: github.com/BrianGator/Python-PyTest-Scripting</w:t>
      </w:r>
    </w:p>
    <w:p>
      <w:pPr>
        <w:spacing w:after="120"/>
      </w:pPr>
    </w:p>
    <w:p>
      <w:pPr>
        <w:pStyle w:val="Heading1"/>
        <w:pBdr>
          <w:bottom w:val="single" w:color="2563EB" w:sz="8" w:space="4"/>
        </w:pBdr>
        <w:spacing w:after="160" w:before="360"/>
      </w:pPr>
      <w:r>
        <w:rPr>
          <w:rFonts w:ascii="Arial" w:cs="Arial" w:eastAsia="Arial" w:hAnsi="Arial"/>
          <w:b/>
          <w:bCs/>
          <w:color w:val="1B3A6B"/>
          <w:sz w:val="36"/>
          <w:szCs w:val="36"/>
        </w:rPr>
        <w:t xml:space="preserve">9. Risks &amp; Mitigation</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900"/>
        <w:gridCol w:w="3460"/>
      </w:tblGrid>
      <w:tr>
        <w:trPr>
          <w:tblHeader/>
        </w:trPr>
        <w:tc>
          <w:tcPr>
            <w:tcW w:type="dxa" w:w="2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Risk</w:t>
            </w:r>
          </w:p>
        </w:tc>
        <w:tc>
          <w:tcPr>
            <w:tcW w:type="dxa" w:w="10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Likelihood</w:t>
            </w:r>
          </w:p>
        </w:tc>
        <w:tc>
          <w:tcPr>
            <w:tcW w:type="dxa" w:w="9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Impact</w:t>
            </w:r>
          </w:p>
        </w:tc>
        <w:tc>
          <w:tcPr>
            <w:tcW w:type="dxa" w:w="34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Mitigation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Environment instability blocking test execution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High</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Daily environment smoke test; Slack alerts on failures; fallback to local Docker env.</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Test data corruption or unavailability</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Medium</w:t>
            </w:r>
          </w:p>
        </w:tc>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High</w:t>
            </w:r>
          </w:p>
        </w:tc>
        <w:tc>
          <w:tcPr>
            <w:tcW w:type="dxa" w:w="3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Isolated QA DB with seeded data scripts; refresh procedure documented in ADO wiki.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Automation suite flakiness masking real failures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High</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Playwright auto-wait strategy; retry logic (max 1); flaky tests flagged and quarantined within 24h.</w:t>
            </w:r>
          </w:p>
        </w:tc>
      </w:tr>
      <w:tr>
        <w:tc>
          <w:tcPr>
            <w:tcW w:type="dxa" w:w="2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Late requirement changes invalidating test cases</w:t>
            </w:r>
          </w:p>
        </w:tc>
        <w:tc>
          <w:tcPr>
            <w:tcW w:type="dxa" w:w="1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High</w:t>
            </w:r>
          </w:p>
        </w:tc>
        <w:tc>
          <w:tcPr>
            <w:tcW w:type="dxa" w:w="9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Medium</w:t>
            </w:r>
          </w:p>
        </w:tc>
        <w:tc>
          <w:tcPr>
            <w:tcW w:type="dxa" w:w="34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ADO traceability ensures impacted cases are flagged; re-estimation added to sprint planning.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Insufficient regression coverage for release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High</w:t>
            </w:r>
          </w:p>
        </w:tc>
        <w:tc>
          <w:tcPr>
            <w:tcW w:type="dxa" w:w="34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Coverage metrics reviewed in sprint review; 85% automation target enforced.</w:t>
            </w:r>
          </w:p>
        </w:tc>
      </w:tr>
    </w:tbl>
    <w:p>
      <w:pPr>
        <w:spacing w:after="120"/>
      </w:pPr>
    </w:p>
    <w:p>
      <w:pPr>
        <w:pStyle w:val="Heading1"/>
        <w:pBdr>
          <w:bottom w:val="single" w:color="2563EB" w:sz="8" w:space="4"/>
        </w:pBdr>
        <w:spacing w:after="160" w:before="360"/>
      </w:pPr>
      <w:r>
        <w:rPr>
          <w:rFonts w:ascii="Arial" w:cs="Arial" w:eastAsia="Arial" w:hAnsi="Arial"/>
          <w:b/>
          <w:bCs/>
          <w:color w:val="1B3A6B"/>
          <w:sz w:val="36"/>
          <w:szCs w:val="36"/>
        </w:rPr>
        <w:t xml:space="preserve">10. Team &amp; Responsibilities</w:t>
      </w:r>
    </w:p>
    <w:tbl>
      <w:tblPr>
        <w:tblW w:type="dxa" w:w="7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760"/>
      </w:tblGrid>
      <w:tr>
        <w:trPr>
          <w:tblHeader/>
        </w:trPr>
        <w:tc>
          <w:tcPr>
            <w:tcW w:type="dxa" w:w="1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Role</w:t>
            </w:r>
          </w:p>
        </w:tc>
        <w:tc>
          <w:tcPr>
            <w:tcW w:type="dxa" w:w="180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Name</w:t>
            </w:r>
          </w:p>
        </w:tc>
        <w:tc>
          <w:tcPr>
            <w:tcW w:type="dxa" w:w="3760"/>
            <w:tcBorders>
              <w:top w:val="single" w:color="2563EB" w:sz="1"/>
              <w:left w:val="single" w:color="2563EB" w:sz="1"/>
              <w:bottom w:val="single" w:color="2563EB" w:sz="1"/>
              <w:right w:val="single" w:color="2563EB"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Responsibilities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Senior QA Lead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Brian Scott McCarthy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Test strategy, automation architecture, ADO test plan management, Go/No-Go sign-off, stakeholder reporting.</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Manual QA Engineers</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QA Team</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Test case execution, exploratory testing, defect logging, regression execution support.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Dev Lead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Development Team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Defect resolution, environment deployments, CI/CD pipeline maintenance.</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Product Owner</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Product Team</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E293B"/>
                <w:sz w:val="18"/>
                <w:szCs w:val="18"/>
              </w:rPr>
              <w:t xml:space="preserve">Acceptance criteria definition, defect priority decisions, Go/No-Go participation.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DevOps Engineer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DevOps Team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E293B"/>
                <w:sz w:val="18"/>
                <w:szCs w:val="18"/>
              </w:rPr>
              <w:t xml:space="preserve">CI/CD pipeline configuration, environment provisioning, Docker/Kubernetes management.</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2"/>
      </w:pBdr>
      <w:tabs>
        <w:tab w:val="right" w:pos="9026"/>
      </w:tabs>
      <w:spacing w:before="80"/>
    </w:pPr>
    <w:r>
      <w:rPr>
        <w:rFonts w:ascii="Arial" w:cs="Arial" w:eastAsia="Arial" w:hAnsi="Arial"/>
        <w:i/>
        <w:iCs/>
        <w:color w:val="64748B"/>
        <w:sz w:val="16"/>
        <w:szCs w:val="16"/>
      </w:rPr>
      <w:t xml:space="preserve">Senior QA Lead  |  14+ Years Experience</w:t>
    </w:r>
    <w:r>
      <w:rPr>
        <w:sz w:val="16"/>
        <w:szCs w:val="16"/>
      </w:rPr>
      <w:t xml:space="preserve">	</w:t>
    </w:r>
    <w:r>
      <w:rPr>
        <w:rFonts w:ascii="Arial" w:cs="Arial" w:eastAsia="Arial" w:hAnsi="Arial"/>
        <w:color w:val="64748B"/>
        <w:sz w:val="16"/>
        <w:szCs w:val="16"/>
      </w:rPr>
      <w:t xml:space="preserve">Playwright • Selenium • Azure DevOps • Cypress • Python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2"/>
      </w:pBdr>
      <w:tabs>
        <w:tab w:val="right" w:pos="9026"/>
      </w:tabs>
      <w:spacing w:after="80"/>
    </w:pPr>
    <w:r>
      <w:rPr>
        <w:rFonts w:ascii="Arial" w:cs="Arial" w:eastAsia="Arial" w:hAnsi="Arial"/>
        <w:b/>
        <w:bCs/>
        <w:color w:val="64748B"/>
        <w:sz w:val="16"/>
        <w:szCs w:val="16"/>
      </w:rPr>
      <w:t xml:space="preserve">Brian Scott McCarthy  |  QA Test Plan</w:t>
    </w:r>
    <w:r>
      <w:rPr>
        <w:sz w:val="16"/>
        <w:szCs w:val="16"/>
      </w:rPr>
      <w:t xml:space="preserve">	</w:t>
    </w:r>
    <w:r>
      <w:rPr>
        <w:rFonts w:ascii="Arial" w:cs="Arial" w:eastAsia="Arial" w:hAnsi="Arial"/>
        <w:color w:val="64748B"/>
        <w:sz w:val="16"/>
        <w:szCs w:val="16"/>
      </w:rPr>
      <w:t xml:space="preserve">briansmc@gmail.com  •  404-510-2255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B3A6B"/>
      <w:sz w:val="26"/>
      <w:szCs w:val="26"/>
    </w:rPr>
  </w:style>
  <w:style w:type="paragraph" w:styleId="Heading3">
    <w:name w:val="Heading 3"/>
    <w:basedOn w:val="Normal"/>
    <w:next w:val="Normal"/>
    <w:qFormat/>
    <w:pPr>
      <w:spacing w:after="80" w:before="180"/>
      <w:outlineLvl w:val="2"/>
    </w:pPr>
    <w:rPr>
      <w:rFonts w:ascii="Arial" w:cs="Arial" w:eastAsia="Arial" w:hAnsi="Arial"/>
      <w:b/>
      <w:bCs/>
      <w:color w:val="0F76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2026-05-17T17:36:22.913Z</dcterms:created>
  <dcterms:modified xsi:type="dcterms:W3CDTF">2026-05-17T17:36:22.925Z</dcterms:modified>
</cp:coreProperties>
</file>

<file path=docProps/custom.xml><?xml version="1.0" encoding="utf-8"?>
<Properties xmlns="http://schemas.openxmlformats.org/officeDocument/2006/custom-properties" xmlns:vt="http://schemas.openxmlformats.org/officeDocument/2006/docPropsVTypes"/>
</file>