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162"/>
        <w:gridCol w:w="5162"/>
      </w:tblGrid>
      <w:tr w:rsidR="00661C98" w:rsidRPr="007C248D" w14:paraId="390EB879" w14:textId="77777777">
        <w:trPr>
          <w:jc w:val="center"/>
        </w:trPr>
        <w:tc>
          <w:tcPr>
            <w:tcW w:w="5162" w:type="dxa"/>
            <w:tcBorders>
              <w:top w:val="nil"/>
              <w:left w:val="nil"/>
              <w:bottom w:val="nil"/>
              <w:right w:val="nil"/>
            </w:tcBorders>
            <w:tcMar>
              <w:top w:w="10" w:type="dxa"/>
              <w:left w:w="10" w:type="dxa"/>
              <w:bottom w:w="10" w:type="dxa"/>
              <w:right w:w="10" w:type="dxa"/>
            </w:tcMar>
            <w:vAlign w:val="center"/>
          </w:tcPr>
          <w:p w14:paraId="4E683CD0" w14:textId="77777777" w:rsidR="00661C98" w:rsidRPr="007C248D" w:rsidRDefault="00D1551C">
            <w:pPr>
              <w:jc w:val="center"/>
              <w:rPr>
                <w:rFonts w:asciiTheme="minorHAnsi" w:hAnsiTheme="minorHAnsi"/>
                <w:sz w:val="22"/>
              </w:rPr>
            </w:pPr>
            <w:r w:rsidRPr="007C248D">
              <w:rPr>
                <w:rFonts w:asciiTheme="minorHAnsi" w:hAnsiTheme="minorHAnsi"/>
                <w:noProof/>
                <w:sz w:val="22"/>
              </w:rPr>
              <w:drawing>
                <wp:inline distT="0" distB="0" distL="0" distR="0" wp14:anchorId="3FA2939E" wp14:editId="5B05F428">
                  <wp:extent cx="1143000" cy="7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vators_logo.png"/>
                          <pic:cNvPicPr/>
                        </pic:nvPicPr>
                        <pic:blipFill>
                          <a:blip r:embed="rId8"/>
                          <a:stretch>
                            <a:fillRect/>
                          </a:stretch>
                        </pic:blipFill>
                        <pic:spPr>
                          <a:xfrm>
                            <a:off x="0" y="0"/>
                            <a:ext cx="1143000" cy="770860"/>
                          </a:xfrm>
                          <a:prstGeom prst="rect">
                            <a:avLst/>
                          </a:prstGeom>
                        </pic:spPr>
                      </pic:pic>
                    </a:graphicData>
                  </a:graphic>
                </wp:inline>
              </w:drawing>
            </w:r>
          </w:p>
        </w:tc>
        <w:tc>
          <w:tcPr>
            <w:tcW w:w="5162" w:type="dxa"/>
            <w:tcBorders>
              <w:top w:val="nil"/>
              <w:left w:val="nil"/>
              <w:bottom w:val="nil"/>
              <w:right w:val="nil"/>
            </w:tcBorders>
            <w:tcMar>
              <w:top w:w="10" w:type="dxa"/>
              <w:left w:w="10" w:type="dxa"/>
              <w:bottom w:w="10" w:type="dxa"/>
              <w:right w:w="10" w:type="dxa"/>
            </w:tcMar>
            <w:vAlign w:val="center"/>
          </w:tcPr>
          <w:p w14:paraId="0FF1C5F1" w14:textId="77777777" w:rsidR="00661C98" w:rsidRPr="007C248D" w:rsidRDefault="00D1551C">
            <w:pPr>
              <w:jc w:val="center"/>
              <w:rPr>
                <w:rFonts w:asciiTheme="minorHAnsi" w:hAnsiTheme="minorHAnsi"/>
                <w:sz w:val="22"/>
              </w:rPr>
            </w:pPr>
            <w:r w:rsidRPr="007C248D">
              <w:rPr>
                <w:rFonts w:asciiTheme="minorHAnsi" w:hAnsiTheme="minorHAnsi"/>
                <w:b/>
                <w:color w:val="8B0F18"/>
                <w:sz w:val="22"/>
              </w:rPr>
              <w:t>Subvators Hub</w:t>
            </w:r>
          </w:p>
          <w:p w14:paraId="494361E0" w14:textId="77777777" w:rsidR="00661C98" w:rsidRPr="007C248D" w:rsidRDefault="00D1551C">
            <w:pPr>
              <w:jc w:val="center"/>
              <w:rPr>
                <w:rFonts w:asciiTheme="minorHAnsi" w:hAnsiTheme="minorHAnsi"/>
                <w:sz w:val="22"/>
              </w:rPr>
            </w:pPr>
            <w:r w:rsidRPr="007C248D">
              <w:rPr>
                <w:rFonts w:asciiTheme="minorHAnsi" w:hAnsiTheme="minorHAnsi"/>
                <w:color w:val="222222"/>
                <w:sz w:val="22"/>
              </w:rPr>
              <w:t>Building fundable, viable and scalable grassroots innovations for health, wealth and Earth</w:t>
            </w:r>
          </w:p>
        </w:tc>
      </w:tr>
    </w:tbl>
    <w:tbl>
      <w:tblPr>
        <w:tblW w:w="0" w:type="auto"/>
        <w:jc w:val="center"/>
        <w:tblLook w:val="04A0" w:firstRow="1" w:lastRow="0" w:firstColumn="1" w:lastColumn="0" w:noHBand="0" w:noVBand="1"/>
      </w:tblPr>
      <w:tblGrid>
        <w:gridCol w:w="10295"/>
      </w:tblGrid>
      <w:tr w:rsidR="00661C98" w:rsidRPr="007C248D" w14:paraId="023FFD56" w14:textId="77777777">
        <w:trPr>
          <w:jc w:val="center"/>
        </w:trPr>
        <w:tc>
          <w:tcPr>
            <w:tcW w:w="10325" w:type="dxa"/>
            <w:tcBorders>
              <w:top w:val="single" w:sz="12" w:space="0" w:color="2E7D32"/>
              <w:left w:val="single" w:sz="12" w:space="0" w:color="2E7D32"/>
              <w:bottom w:val="single" w:sz="12" w:space="0" w:color="2E7D32"/>
              <w:right w:val="single" w:sz="12" w:space="0" w:color="2E7D32"/>
            </w:tcBorders>
            <w:shd w:val="clear" w:color="auto" w:fill="EAF4EA"/>
            <w:tcMar>
              <w:top w:w="80" w:type="dxa"/>
              <w:left w:w="100" w:type="dxa"/>
              <w:bottom w:w="80" w:type="dxa"/>
              <w:right w:w="100" w:type="dxa"/>
            </w:tcMar>
          </w:tcPr>
          <w:p w14:paraId="04C7DB98" w14:textId="77777777" w:rsidR="00661C98" w:rsidRPr="007C248D" w:rsidRDefault="00D1551C">
            <w:pPr>
              <w:jc w:val="center"/>
              <w:rPr>
                <w:rFonts w:asciiTheme="minorHAnsi" w:hAnsiTheme="minorHAnsi"/>
                <w:sz w:val="22"/>
              </w:rPr>
            </w:pPr>
            <w:r w:rsidRPr="007C248D">
              <w:rPr>
                <w:rFonts w:asciiTheme="minorHAnsi" w:hAnsiTheme="minorHAnsi"/>
                <w:b/>
                <w:color w:val="222222"/>
                <w:sz w:val="22"/>
              </w:rPr>
              <w:t>Kenya-based | Established in August 2024 with support from Atlas Network USA | Bridging grassroots communities, policymakers, strategic partners, donors and global actors</w:t>
            </w:r>
          </w:p>
        </w:tc>
      </w:tr>
    </w:tbl>
    <w:p w14:paraId="6BE678AC" w14:textId="77777777" w:rsidR="00661C98" w:rsidRPr="007C248D" w:rsidRDefault="00661C98">
      <w:pPr>
        <w:spacing w:after="0"/>
        <w:rPr>
          <w:rFonts w:asciiTheme="minorHAnsi" w:hAnsiTheme="minorHAnsi"/>
          <w:sz w:val="22"/>
        </w:rPr>
      </w:pPr>
    </w:p>
    <w:p w14:paraId="03B053AE" w14:textId="77777777" w:rsidR="00661C98" w:rsidRPr="007C248D" w:rsidRDefault="00D1551C">
      <w:pPr>
        <w:spacing w:before="160" w:after="80"/>
        <w:rPr>
          <w:rFonts w:asciiTheme="minorHAnsi" w:hAnsiTheme="minorHAnsi"/>
          <w:sz w:val="22"/>
        </w:rPr>
      </w:pPr>
      <w:r w:rsidRPr="007C248D">
        <w:rPr>
          <w:rFonts w:asciiTheme="minorHAnsi" w:hAnsiTheme="minorHAnsi"/>
          <w:b/>
          <w:color w:val="8B0F18"/>
          <w:sz w:val="22"/>
        </w:rPr>
        <w:t>Organisation overview</w:t>
      </w:r>
    </w:p>
    <w:p w14:paraId="1E86E1B3" w14:textId="77777777" w:rsidR="00661C98" w:rsidRPr="007C248D" w:rsidRDefault="00D1551C">
      <w:pPr>
        <w:spacing w:after="80" w:line="252" w:lineRule="auto"/>
        <w:rPr>
          <w:rFonts w:asciiTheme="minorHAnsi" w:hAnsiTheme="minorHAnsi"/>
          <w:sz w:val="22"/>
        </w:rPr>
      </w:pPr>
      <w:r w:rsidRPr="007C248D">
        <w:rPr>
          <w:rFonts w:asciiTheme="minorHAnsi" w:hAnsiTheme="minorHAnsi"/>
          <w:color w:val="222222"/>
          <w:sz w:val="22"/>
        </w:rPr>
        <w:t>Subvators Hub is a Kenya-based catalytic platform dedicated to amplifying grassroots voices and influencing socio-economic reform through practical innovation. It operates as a bridge between grassroots communities, policymakers, strategic partners, donors and global actors so that locally led solutions can shape wider systems change. Its work places health and wellbeing at the centre: better nutrition, safer environments, stronger household resilience, women's participation, youth opportunity and community-rooted protection pathways.</w:t>
      </w:r>
    </w:p>
    <w:p w14:paraId="378D5F4D" w14:textId="77777777" w:rsidR="00661C98" w:rsidRPr="007C248D" w:rsidRDefault="00D1551C">
      <w:pPr>
        <w:spacing w:after="80" w:line="252" w:lineRule="auto"/>
        <w:rPr>
          <w:rFonts w:asciiTheme="minorHAnsi" w:hAnsiTheme="minorHAnsi"/>
          <w:sz w:val="22"/>
        </w:rPr>
      </w:pPr>
      <w:r w:rsidRPr="007C248D">
        <w:rPr>
          <w:rFonts w:asciiTheme="minorHAnsi" w:hAnsiTheme="minorHAnsi"/>
          <w:color w:val="222222"/>
          <w:sz w:val="22"/>
        </w:rPr>
        <w:t>To date, the Hub has supported five locally led organisations that together reach more than 40 CBO initiatives and growing. These initiatives span action research, performance arts, agribusiness, indigenous food fortification, youth leadership, wellness enterprise, migrant safety and community entrepreneurship. Across these themes, Subvators strengthens institutional development, governance, financial management, fundraising, strategic positioning and advocacy so partners can scale health and livelihood impact with greater credibility and influence.</w:t>
      </w:r>
    </w:p>
    <w:tbl>
      <w:tblPr>
        <w:tblW w:w="0" w:type="auto"/>
        <w:jc w:val="center"/>
        <w:tblLook w:val="04A0" w:firstRow="1" w:lastRow="0" w:firstColumn="1" w:lastColumn="0" w:noHBand="0" w:noVBand="1"/>
      </w:tblPr>
      <w:tblGrid>
        <w:gridCol w:w="2578"/>
        <w:gridCol w:w="2577"/>
        <w:gridCol w:w="2577"/>
        <w:gridCol w:w="2577"/>
      </w:tblGrid>
      <w:tr w:rsidR="00661C98" w:rsidRPr="007C248D" w14:paraId="2E6779F3" w14:textId="77777777">
        <w:trPr>
          <w:jc w:val="center"/>
        </w:trPr>
        <w:tc>
          <w:tcPr>
            <w:tcW w:w="2581" w:type="dxa"/>
            <w:tcBorders>
              <w:top w:val="single" w:sz="6" w:space="0" w:color="D9E5D9"/>
              <w:left w:val="single" w:sz="6" w:space="0" w:color="D9E5D9"/>
              <w:bottom w:val="single" w:sz="6" w:space="0" w:color="D9E5D9"/>
              <w:right w:val="single" w:sz="6" w:space="0" w:color="D9E5D9"/>
            </w:tcBorders>
            <w:shd w:val="clear" w:color="auto" w:fill="F7F7F7"/>
            <w:tcMar>
              <w:top w:w="150" w:type="dxa"/>
              <w:left w:w="80" w:type="dxa"/>
              <w:bottom w:w="150" w:type="dxa"/>
              <w:right w:w="80" w:type="dxa"/>
            </w:tcMar>
            <w:vAlign w:val="center"/>
          </w:tcPr>
          <w:p w14:paraId="458DED8E" w14:textId="77777777" w:rsidR="00661C98" w:rsidRPr="007C248D" w:rsidRDefault="00D1551C">
            <w:pPr>
              <w:jc w:val="center"/>
              <w:rPr>
                <w:rFonts w:asciiTheme="minorHAnsi" w:hAnsiTheme="minorHAnsi"/>
                <w:sz w:val="22"/>
              </w:rPr>
            </w:pPr>
            <w:r w:rsidRPr="007C248D">
              <w:rPr>
                <w:rFonts w:asciiTheme="minorHAnsi" w:hAnsiTheme="minorHAnsi"/>
                <w:b/>
                <w:color w:val="8B0F18"/>
                <w:sz w:val="22"/>
              </w:rPr>
              <w:t>5</w:t>
            </w:r>
          </w:p>
          <w:p w14:paraId="70DF3F98" w14:textId="77777777" w:rsidR="00661C98" w:rsidRPr="007C248D" w:rsidRDefault="00D1551C">
            <w:pPr>
              <w:jc w:val="center"/>
              <w:rPr>
                <w:rFonts w:asciiTheme="minorHAnsi" w:hAnsiTheme="minorHAnsi"/>
                <w:sz w:val="22"/>
              </w:rPr>
            </w:pPr>
            <w:r w:rsidRPr="007C248D">
              <w:rPr>
                <w:rFonts w:asciiTheme="minorHAnsi" w:hAnsiTheme="minorHAnsi"/>
                <w:color w:val="222222"/>
                <w:sz w:val="22"/>
              </w:rPr>
              <w:t>locally led organisations supported</w:t>
            </w:r>
          </w:p>
        </w:tc>
        <w:tc>
          <w:tcPr>
            <w:tcW w:w="2581" w:type="dxa"/>
            <w:tcBorders>
              <w:top w:val="single" w:sz="6" w:space="0" w:color="D9E5D9"/>
              <w:left w:val="single" w:sz="6" w:space="0" w:color="D9E5D9"/>
              <w:bottom w:val="single" w:sz="6" w:space="0" w:color="D9E5D9"/>
              <w:right w:val="single" w:sz="6" w:space="0" w:color="D9E5D9"/>
            </w:tcBorders>
            <w:shd w:val="clear" w:color="auto" w:fill="F7F7F7"/>
            <w:tcMar>
              <w:top w:w="150" w:type="dxa"/>
              <w:left w:w="80" w:type="dxa"/>
              <w:bottom w:w="150" w:type="dxa"/>
              <w:right w:w="80" w:type="dxa"/>
            </w:tcMar>
            <w:vAlign w:val="center"/>
          </w:tcPr>
          <w:p w14:paraId="3F979059" w14:textId="77777777" w:rsidR="00661C98" w:rsidRPr="007C248D" w:rsidRDefault="00D1551C">
            <w:pPr>
              <w:jc w:val="center"/>
              <w:rPr>
                <w:rFonts w:asciiTheme="minorHAnsi" w:hAnsiTheme="minorHAnsi"/>
                <w:sz w:val="22"/>
              </w:rPr>
            </w:pPr>
            <w:r w:rsidRPr="007C248D">
              <w:rPr>
                <w:rFonts w:asciiTheme="minorHAnsi" w:hAnsiTheme="minorHAnsi"/>
                <w:b/>
                <w:color w:val="8B0F18"/>
                <w:sz w:val="22"/>
              </w:rPr>
              <w:t>40+</w:t>
            </w:r>
          </w:p>
          <w:p w14:paraId="34896FFD" w14:textId="77777777" w:rsidR="00661C98" w:rsidRPr="007C248D" w:rsidRDefault="00D1551C">
            <w:pPr>
              <w:jc w:val="center"/>
              <w:rPr>
                <w:rFonts w:asciiTheme="minorHAnsi" w:hAnsiTheme="minorHAnsi"/>
                <w:sz w:val="22"/>
              </w:rPr>
            </w:pPr>
            <w:r w:rsidRPr="007C248D">
              <w:rPr>
                <w:rFonts w:asciiTheme="minorHAnsi" w:hAnsiTheme="minorHAnsi"/>
                <w:color w:val="222222"/>
                <w:sz w:val="22"/>
              </w:rPr>
              <w:t>CBO initiatives reached</w:t>
            </w:r>
          </w:p>
        </w:tc>
        <w:tc>
          <w:tcPr>
            <w:tcW w:w="2581" w:type="dxa"/>
            <w:tcBorders>
              <w:top w:val="single" w:sz="6" w:space="0" w:color="D9E5D9"/>
              <w:left w:val="single" w:sz="6" w:space="0" w:color="D9E5D9"/>
              <w:bottom w:val="single" w:sz="6" w:space="0" w:color="D9E5D9"/>
              <w:right w:val="single" w:sz="6" w:space="0" w:color="D9E5D9"/>
            </w:tcBorders>
            <w:shd w:val="clear" w:color="auto" w:fill="F7F7F7"/>
            <w:tcMar>
              <w:top w:w="150" w:type="dxa"/>
              <w:left w:w="80" w:type="dxa"/>
              <w:bottom w:w="150" w:type="dxa"/>
              <w:right w:w="80" w:type="dxa"/>
            </w:tcMar>
            <w:vAlign w:val="center"/>
          </w:tcPr>
          <w:p w14:paraId="179A0598" w14:textId="77777777" w:rsidR="00661C98" w:rsidRPr="007C248D" w:rsidRDefault="00D1551C">
            <w:pPr>
              <w:jc w:val="center"/>
              <w:rPr>
                <w:rFonts w:asciiTheme="minorHAnsi" w:hAnsiTheme="minorHAnsi"/>
                <w:sz w:val="22"/>
              </w:rPr>
            </w:pPr>
            <w:r w:rsidRPr="007C248D">
              <w:rPr>
                <w:rFonts w:asciiTheme="minorHAnsi" w:hAnsiTheme="minorHAnsi"/>
                <w:b/>
                <w:color w:val="8B0F18"/>
                <w:sz w:val="22"/>
              </w:rPr>
              <w:t>2024</w:t>
            </w:r>
          </w:p>
          <w:p w14:paraId="0AD5530B" w14:textId="77777777" w:rsidR="00661C98" w:rsidRPr="007C248D" w:rsidRDefault="00D1551C">
            <w:pPr>
              <w:jc w:val="center"/>
              <w:rPr>
                <w:rFonts w:asciiTheme="minorHAnsi" w:hAnsiTheme="minorHAnsi"/>
                <w:sz w:val="22"/>
              </w:rPr>
            </w:pPr>
            <w:r w:rsidRPr="007C248D">
              <w:rPr>
                <w:rFonts w:asciiTheme="minorHAnsi" w:hAnsiTheme="minorHAnsi"/>
                <w:color w:val="222222"/>
                <w:sz w:val="22"/>
              </w:rPr>
              <w:t>year established</w:t>
            </w:r>
          </w:p>
        </w:tc>
        <w:tc>
          <w:tcPr>
            <w:tcW w:w="2581" w:type="dxa"/>
            <w:tcBorders>
              <w:top w:val="single" w:sz="6" w:space="0" w:color="D9E5D9"/>
              <w:left w:val="single" w:sz="6" w:space="0" w:color="D9E5D9"/>
              <w:bottom w:val="single" w:sz="6" w:space="0" w:color="D9E5D9"/>
              <w:right w:val="single" w:sz="6" w:space="0" w:color="D9E5D9"/>
            </w:tcBorders>
            <w:shd w:val="clear" w:color="auto" w:fill="EAF4EA"/>
            <w:tcMar>
              <w:top w:w="150" w:type="dxa"/>
              <w:left w:w="80" w:type="dxa"/>
              <w:bottom w:w="150" w:type="dxa"/>
              <w:right w:w="80" w:type="dxa"/>
            </w:tcMar>
            <w:vAlign w:val="center"/>
          </w:tcPr>
          <w:p w14:paraId="34DF70AA" w14:textId="77777777" w:rsidR="00661C98" w:rsidRPr="007C248D" w:rsidRDefault="00D1551C">
            <w:pPr>
              <w:jc w:val="center"/>
              <w:rPr>
                <w:rFonts w:asciiTheme="minorHAnsi" w:hAnsiTheme="minorHAnsi"/>
                <w:sz w:val="22"/>
              </w:rPr>
            </w:pPr>
            <w:r w:rsidRPr="007C248D">
              <w:rPr>
                <w:rFonts w:asciiTheme="minorHAnsi" w:hAnsiTheme="minorHAnsi"/>
                <w:b/>
                <w:color w:val="8B0F18"/>
                <w:sz w:val="22"/>
              </w:rPr>
              <w:t>Health, wealth and Earth</w:t>
            </w:r>
          </w:p>
          <w:p w14:paraId="7AF1EEEA" w14:textId="77777777" w:rsidR="00661C98" w:rsidRPr="007C248D" w:rsidRDefault="00D1551C">
            <w:pPr>
              <w:jc w:val="center"/>
              <w:rPr>
                <w:rFonts w:asciiTheme="minorHAnsi" w:hAnsiTheme="minorHAnsi"/>
                <w:sz w:val="22"/>
              </w:rPr>
            </w:pPr>
            <w:r w:rsidRPr="007C248D">
              <w:rPr>
                <w:rFonts w:asciiTheme="minorHAnsi" w:hAnsiTheme="minorHAnsi"/>
                <w:color w:val="222222"/>
                <w:sz w:val="22"/>
              </w:rPr>
              <w:t>core focus</w:t>
            </w:r>
          </w:p>
        </w:tc>
      </w:tr>
    </w:tbl>
    <w:p w14:paraId="52BE2B54" w14:textId="77777777" w:rsidR="00661C98" w:rsidRPr="007C248D" w:rsidRDefault="00661C98">
      <w:pPr>
        <w:spacing w:after="0"/>
        <w:rPr>
          <w:rFonts w:asciiTheme="minorHAnsi" w:hAnsiTheme="minorHAnsi"/>
          <w:sz w:val="22"/>
        </w:rPr>
      </w:pPr>
    </w:p>
    <w:p w14:paraId="64911D5D" w14:textId="77777777" w:rsidR="00661C98" w:rsidRPr="007C248D" w:rsidRDefault="00D1551C">
      <w:pPr>
        <w:spacing w:before="160" w:after="80"/>
        <w:rPr>
          <w:rFonts w:asciiTheme="minorHAnsi" w:hAnsiTheme="minorHAnsi"/>
          <w:sz w:val="22"/>
        </w:rPr>
      </w:pPr>
      <w:r w:rsidRPr="007C248D">
        <w:rPr>
          <w:rFonts w:asciiTheme="minorHAnsi" w:hAnsiTheme="minorHAnsi"/>
          <w:b/>
          <w:color w:val="8B0F18"/>
          <w:sz w:val="22"/>
        </w:rPr>
        <w:t>Core areas and why this matters</w:t>
      </w:r>
    </w:p>
    <w:p w14:paraId="2E206F8C" w14:textId="77777777" w:rsidR="00661C98" w:rsidRPr="007C248D" w:rsidRDefault="00D1551C" w:rsidP="00234C15">
      <w:pPr>
        <w:spacing w:after="80" w:line="252" w:lineRule="auto"/>
        <w:jc w:val="both"/>
        <w:rPr>
          <w:rFonts w:asciiTheme="minorHAnsi" w:hAnsiTheme="minorHAnsi"/>
          <w:sz w:val="22"/>
        </w:rPr>
      </w:pPr>
      <w:r w:rsidRPr="007C248D">
        <w:rPr>
          <w:rFonts w:asciiTheme="minorHAnsi" w:hAnsiTheme="minorHAnsi"/>
          <w:color w:val="222222"/>
          <w:sz w:val="22"/>
        </w:rPr>
        <w:t>Kenya continues to face persistent socio-economic barriers that directly affect health and wellbeing. Youth unemployment constrains stable livelihoods; gender inequality limits women's full participation in economic and public life; and weak citizen engagement means grassroots groups are often excluded from reforms that shape food systems, public health, safety and opportunity.</w:t>
      </w:r>
    </w:p>
    <w:p w14:paraId="2D6423E1" w14:textId="77777777" w:rsidR="00661C98" w:rsidRPr="007C248D" w:rsidRDefault="00D1551C" w:rsidP="00234C15">
      <w:pPr>
        <w:spacing w:after="80" w:line="252" w:lineRule="auto"/>
        <w:jc w:val="both"/>
        <w:rPr>
          <w:rFonts w:asciiTheme="minorHAnsi" w:hAnsiTheme="minorHAnsi"/>
          <w:sz w:val="22"/>
        </w:rPr>
      </w:pPr>
      <w:r w:rsidRPr="007C248D">
        <w:rPr>
          <w:rFonts w:asciiTheme="minorHAnsi" w:hAnsiTheme="minorHAnsi"/>
          <w:color w:val="222222"/>
          <w:sz w:val="22"/>
        </w:rPr>
        <w:t>At community level, these pressures show up in poor diets, unsafe migration, inadequate sanitation, environmental stress, weak referral systems and limited institutional capacity among community-rooted actors. Subvators works in this gap by helping local organisations become stronger vehicles for prevention, resilience, care, advocacy and reform.</w:t>
      </w:r>
    </w:p>
    <w:p w14:paraId="75C1364B" w14:textId="77777777" w:rsidR="00661C98" w:rsidRPr="007C248D" w:rsidRDefault="00D1551C">
      <w:pPr>
        <w:spacing w:before="160" w:after="80"/>
        <w:rPr>
          <w:rFonts w:asciiTheme="minorHAnsi" w:hAnsiTheme="minorHAnsi"/>
          <w:sz w:val="22"/>
        </w:rPr>
      </w:pPr>
      <w:r w:rsidRPr="007C248D">
        <w:rPr>
          <w:rFonts w:asciiTheme="minorHAnsi" w:hAnsiTheme="minorHAnsi"/>
          <w:b/>
          <w:color w:val="8B0F18"/>
          <w:sz w:val="22"/>
        </w:rPr>
        <w:t>How Subvators adds value</w:t>
      </w:r>
    </w:p>
    <w:tbl>
      <w:tblPr>
        <w:tblW w:w="0" w:type="auto"/>
        <w:jc w:val="center"/>
        <w:tblLook w:val="04A0" w:firstRow="1" w:lastRow="0" w:firstColumn="1" w:lastColumn="0" w:noHBand="0" w:noVBand="1"/>
      </w:tblPr>
      <w:tblGrid>
        <w:gridCol w:w="5157"/>
        <w:gridCol w:w="5156"/>
      </w:tblGrid>
      <w:tr w:rsidR="00661C98" w:rsidRPr="007C248D" w14:paraId="40EC94C2" w14:textId="77777777">
        <w:trPr>
          <w:jc w:val="center"/>
        </w:trPr>
        <w:tc>
          <w:tcPr>
            <w:tcW w:w="5162" w:type="dxa"/>
            <w:tcBorders>
              <w:top w:val="single" w:sz="5" w:space="0" w:color="D9E5D9"/>
              <w:left w:val="single" w:sz="5" w:space="0" w:color="D9E5D9"/>
              <w:bottom w:val="single" w:sz="5" w:space="0" w:color="D9E5D9"/>
              <w:right w:val="single" w:sz="5" w:space="0" w:color="D9E5D9"/>
            </w:tcBorders>
            <w:shd w:val="clear" w:color="auto" w:fill="EAF4EA"/>
            <w:tcMar>
              <w:top w:w="90" w:type="dxa"/>
              <w:left w:w="90" w:type="dxa"/>
              <w:bottom w:w="90" w:type="dxa"/>
              <w:right w:w="90" w:type="dxa"/>
            </w:tcMar>
          </w:tcPr>
          <w:p w14:paraId="104CC6FF" w14:textId="5F7B1831" w:rsidR="00661C98" w:rsidRPr="007C248D" w:rsidRDefault="00234C15">
            <w:pPr>
              <w:rPr>
                <w:rFonts w:asciiTheme="minorHAnsi" w:hAnsiTheme="minorHAnsi"/>
                <w:sz w:val="22"/>
              </w:rPr>
            </w:pPr>
            <w:r w:rsidRPr="007C248D">
              <w:rPr>
                <w:rFonts w:asciiTheme="minorHAnsi" w:hAnsiTheme="minorHAnsi"/>
                <w:b/>
                <w:color w:val="2E7D32"/>
                <w:sz w:val="22"/>
              </w:rPr>
              <w:t>Strategic P</w:t>
            </w:r>
            <w:r w:rsidR="00D1551C" w:rsidRPr="007C248D">
              <w:rPr>
                <w:rFonts w:asciiTheme="minorHAnsi" w:hAnsiTheme="minorHAnsi"/>
                <w:b/>
                <w:color w:val="2E7D32"/>
                <w:sz w:val="22"/>
              </w:rPr>
              <w:t>artnership development</w:t>
            </w:r>
          </w:p>
        </w:tc>
        <w:tc>
          <w:tcPr>
            <w:tcW w:w="5162" w:type="dxa"/>
            <w:tcBorders>
              <w:top w:val="single" w:sz="5" w:space="0" w:color="D9E5D9"/>
              <w:left w:val="single" w:sz="5" w:space="0" w:color="D9E5D9"/>
              <w:bottom w:val="single" w:sz="5" w:space="0" w:color="D9E5D9"/>
              <w:right w:val="single" w:sz="5" w:space="0" w:color="D9E5D9"/>
            </w:tcBorders>
            <w:tcMar>
              <w:top w:w="90" w:type="dxa"/>
              <w:left w:w="90" w:type="dxa"/>
              <w:bottom w:w="90" w:type="dxa"/>
              <w:right w:w="90" w:type="dxa"/>
            </w:tcMar>
          </w:tcPr>
          <w:p w14:paraId="6C7ADFE7" w14:textId="77777777" w:rsidR="00661C98" w:rsidRPr="007C248D" w:rsidRDefault="00D1551C">
            <w:pPr>
              <w:rPr>
                <w:rFonts w:asciiTheme="minorHAnsi" w:hAnsiTheme="minorHAnsi"/>
                <w:sz w:val="22"/>
              </w:rPr>
            </w:pPr>
            <w:r w:rsidRPr="007C248D">
              <w:rPr>
                <w:rFonts w:asciiTheme="minorHAnsi" w:hAnsiTheme="minorHAnsi"/>
                <w:sz w:val="22"/>
              </w:rPr>
              <w:t>Designing collaboration models, donor positioning and concepts that place nutrition, wellbeing, sanitation, safety and inclusive livelihoods at the core.</w:t>
            </w:r>
          </w:p>
        </w:tc>
      </w:tr>
      <w:tr w:rsidR="00661C98" w:rsidRPr="007C248D" w14:paraId="7596BB87" w14:textId="77777777">
        <w:trPr>
          <w:jc w:val="center"/>
        </w:trPr>
        <w:tc>
          <w:tcPr>
            <w:tcW w:w="5162" w:type="dxa"/>
            <w:tcBorders>
              <w:top w:val="single" w:sz="5" w:space="0" w:color="D9E5D9"/>
              <w:left w:val="single" w:sz="5" w:space="0" w:color="D9E5D9"/>
              <w:bottom w:val="single" w:sz="5" w:space="0" w:color="D9E5D9"/>
              <w:right w:val="single" w:sz="5" w:space="0" w:color="D9E5D9"/>
            </w:tcBorders>
            <w:shd w:val="clear" w:color="auto" w:fill="EAF4EA"/>
            <w:tcMar>
              <w:top w:w="90" w:type="dxa"/>
              <w:left w:w="90" w:type="dxa"/>
              <w:bottom w:w="90" w:type="dxa"/>
              <w:right w:w="90" w:type="dxa"/>
            </w:tcMar>
          </w:tcPr>
          <w:p w14:paraId="4F13A96C" w14:textId="77777777" w:rsidR="00661C98" w:rsidRPr="007C248D" w:rsidRDefault="00D1551C">
            <w:pPr>
              <w:rPr>
                <w:rFonts w:asciiTheme="minorHAnsi" w:hAnsiTheme="minorHAnsi"/>
                <w:sz w:val="22"/>
              </w:rPr>
            </w:pPr>
            <w:r w:rsidRPr="007C248D">
              <w:rPr>
                <w:rFonts w:asciiTheme="minorHAnsi" w:hAnsiTheme="minorHAnsi"/>
                <w:b/>
                <w:color w:val="2E7D32"/>
                <w:sz w:val="22"/>
              </w:rPr>
              <w:t>Institutional strengthening</w:t>
            </w:r>
          </w:p>
        </w:tc>
        <w:tc>
          <w:tcPr>
            <w:tcW w:w="5162" w:type="dxa"/>
            <w:tcBorders>
              <w:top w:val="single" w:sz="5" w:space="0" w:color="D9E5D9"/>
              <w:left w:val="single" w:sz="5" w:space="0" w:color="D9E5D9"/>
              <w:bottom w:val="single" w:sz="5" w:space="0" w:color="D9E5D9"/>
              <w:right w:val="single" w:sz="5" w:space="0" w:color="D9E5D9"/>
            </w:tcBorders>
            <w:tcMar>
              <w:top w:w="90" w:type="dxa"/>
              <w:left w:w="90" w:type="dxa"/>
              <w:bottom w:w="90" w:type="dxa"/>
              <w:right w:w="90" w:type="dxa"/>
            </w:tcMar>
          </w:tcPr>
          <w:p w14:paraId="405770FF" w14:textId="77777777" w:rsidR="00661C98" w:rsidRPr="007C248D" w:rsidRDefault="00D1551C">
            <w:pPr>
              <w:rPr>
                <w:rFonts w:asciiTheme="minorHAnsi" w:hAnsiTheme="minorHAnsi"/>
                <w:sz w:val="22"/>
              </w:rPr>
            </w:pPr>
            <w:r w:rsidRPr="007C248D">
              <w:rPr>
                <w:rFonts w:asciiTheme="minorHAnsi" w:hAnsiTheme="minorHAnsi"/>
                <w:sz w:val="22"/>
              </w:rPr>
              <w:t>Supporting governance, finance, compliance, fundraising readiness and organisational positioning so grassroots partners can grow with confidence.</w:t>
            </w:r>
          </w:p>
        </w:tc>
      </w:tr>
      <w:tr w:rsidR="00661C98" w:rsidRPr="007C248D" w14:paraId="6B5FA099" w14:textId="77777777">
        <w:trPr>
          <w:jc w:val="center"/>
        </w:trPr>
        <w:tc>
          <w:tcPr>
            <w:tcW w:w="5162" w:type="dxa"/>
            <w:tcBorders>
              <w:top w:val="single" w:sz="5" w:space="0" w:color="D9E5D9"/>
              <w:left w:val="single" w:sz="5" w:space="0" w:color="D9E5D9"/>
              <w:bottom w:val="single" w:sz="5" w:space="0" w:color="D9E5D9"/>
              <w:right w:val="single" w:sz="5" w:space="0" w:color="D9E5D9"/>
            </w:tcBorders>
            <w:shd w:val="clear" w:color="auto" w:fill="EAF4EA"/>
            <w:tcMar>
              <w:top w:w="90" w:type="dxa"/>
              <w:left w:w="90" w:type="dxa"/>
              <w:bottom w:w="90" w:type="dxa"/>
              <w:right w:w="90" w:type="dxa"/>
            </w:tcMar>
          </w:tcPr>
          <w:p w14:paraId="32A52287" w14:textId="77777777" w:rsidR="00661C98" w:rsidRPr="007C248D" w:rsidRDefault="00D1551C">
            <w:pPr>
              <w:rPr>
                <w:rFonts w:asciiTheme="minorHAnsi" w:hAnsiTheme="minorHAnsi"/>
                <w:sz w:val="22"/>
              </w:rPr>
            </w:pPr>
            <w:r w:rsidRPr="007C248D">
              <w:rPr>
                <w:rFonts w:asciiTheme="minorHAnsi" w:hAnsiTheme="minorHAnsi"/>
                <w:b/>
                <w:color w:val="2E7D32"/>
                <w:sz w:val="22"/>
              </w:rPr>
              <w:lastRenderedPageBreak/>
              <w:t>Action-policy research and citizen dialogue</w:t>
            </w:r>
          </w:p>
        </w:tc>
        <w:tc>
          <w:tcPr>
            <w:tcW w:w="5162" w:type="dxa"/>
            <w:tcBorders>
              <w:top w:val="single" w:sz="5" w:space="0" w:color="D9E5D9"/>
              <w:left w:val="single" w:sz="5" w:space="0" w:color="D9E5D9"/>
              <w:bottom w:val="single" w:sz="5" w:space="0" w:color="D9E5D9"/>
              <w:right w:val="single" w:sz="5" w:space="0" w:color="D9E5D9"/>
            </w:tcBorders>
            <w:tcMar>
              <w:top w:w="90" w:type="dxa"/>
              <w:left w:w="90" w:type="dxa"/>
              <w:bottom w:w="90" w:type="dxa"/>
              <w:right w:w="90" w:type="dxa"/>
            </w:tcMar>
          </w:tcPr>
          <w:p w14:paraId="042A71E2" w14:textId="77777777" w:rsidR="00661C98" w:rsidRPr="007C248D" w:rsidRDefault="00D1551C">
            <w:pPr>
              <w:rPr>
                <w:rFonts w:asciiTheme="minorHAnsi" w:hAnsiTheme="minorHAnsi"/>
                <w:sz w:val="22"/>
              </w:rPr>
            </w:pPr>
            <w:r w:rsidRPr="007C248D">
              <w:rPr>
                <w:rFonts w:asciiTheme="minorHAnsi" w:hAnsiTheme="minorHAnsi"/>
                <w:sz w:val="22"/>
              </w:rPr>
              <w:t>Linking community evidence, citizen voice and practical reform conversations so local realities influence policy and practice.</w:t>
            </w:r>
          </w:p>
        </w:tc>
      </w:tr>
      <w:tr w:rsidR="00661C98" w:rsidRPr="007C248D" w14:paraId="1FFA49D7" w14:textId="77777777">
        <w:trPr>
          <w:jc w:val="center"/>
        </w:trPr>
        <w:tc>
          <w:tcPr>
            <w:tcW w:w="5162" w:type="dxa"/>
            <w:tcBorders>
              <w:top w:val="single" w:sz="5" w:space="0" w:color="D9E5D9"/>
              <w:left w:val="single" w:sz="5" w:space="0" w:color="D9E5D9"/>
              <w:bottom w:val="single" w:sz="5" w:space="0" w:color="D9E5D9"/>
              <w:right w:val="single" w:sz="5" w:space="0" w:color="D9E5D9"/>
            </w:tcBorders>
            <w:shd w:val="clear" w:color="auto" w:fill="EAF4EA"/>
            <w:tcMar>
              <w:top w:w="90" w:type="dxa"/>
              <w:left w:w="90" w:type="dxa"/>
              <w:bottom w:w="90" w:type="dxa"/>
              <w:right w:w="90" w:type="dxa"/>
            </w:tcMar>
          </w:tcPr>
          <w:p w14:paraId="4EA101F2" w14:textId="77777777" w:rsidR="00661C98" w:rsidRPr="007C248D" w:rsidRDefault="00D1551C">
            <w:pPr>
              <w:rPr>
                <w:rFonts w:asciiTheme="minorHAnsi" w:hAnsiTheme="minorHAnsi"/>
                <w:sz w:val="22"/>
              </w:rPr>
            </w:pPr>
            <w:r w:rsidRPr="007C248D">
              <w:rPr>
                <w:rFonts w:asciiTheme="minorHAnsi" w:hAnsiTheme="minorHAnsi"/>
                <w:b/>
                <w:color w:val="2E7D32"/>
                <w:sz w:val="22"/>
              </w:rPr>
              <w:t>AI-enabled systems and advisory</w:t>
            </w:r>
          </w:p>
        </w:tc>
        <w:tc>
          <w:tcPr>
            <w:tcW w:w="5162" w:type="dxa"/>
            <w:tcBorders>
              <w:top w:val="single" w:sz="5" w:space="0" w:color="D9E5D9"/>
              <w:left w:val="single" w:sz="5" w:space="0" w:color="D9E5D9"/>
              <w:bottom w:val="single" w:sz="5" w:space="0" w:color="D9E5D9"/>
              <w:right w:val="single" w:sz="5" w:space="0" w:color="D9E5D9"/>
            </w:tcBorders>
            <w:tcMar>
              <w:top w:w="90" w:type="dxa"/>
              <w:left w:w="90" w:type="dxa"/>
              <w:bottom w:w="90" w:type="dxa"/>
              <w:right w:w="90" w:type="dxa"/>
            </w:tcMar>
          </w:tcPr>
          <w:p w14:paraId="11D47E34" w14:textId="77777777" w:rsidR="00661C98" w:rsidRPr="007C248D" w:rsidRDefault="00D1551C">
            <w:pPr>
              <w:rPr>
                <w:rFonts w:asciiTheme="minorHAnsi" w:hAnsiTheme="minorHAnsi"/>
                <w:sz w:val="22"/>
              </w:rPr>
            </w:pPr>
            <w:r w:rsidRPr="007C248D">
              <w:rPr>
                <w:rFonts w:asciiTheme="minorHAnsi" w:hAnsiTheme="minorHAnsi"/>
                <w:sz w:val="22"/>
              </w:rPr>
              <w:t>Applying AI-supported learning, dashboards, workflow tools and light automation to strengthen coordination, evidence use and decision support.</w:t>
            </w:r>
          </w:p>
        </w:tc>
      </w:tr>
      <w:tr w:rsidR="00661C98" w:rsidRPr="007C248D" w14:paraId="2DB6E03D" w14:textId="77777777">
        <w:trPr>
          <w:jc w:val="center"/>
        </w:trPr>
        <w:tc>
          <w:tcPr>
            <w:tcW w:w="5162" w:type="dxa"/>
            <w:tcBorders>
              <w:top w:val="single" w:sz="5" w:space="0" w:color="D9E5D9"/>
              <w:left w:val="single" w:sz="5" w:space="0" w:color="D9E5D9"/>
              <w:bottom w:val="single" w:sz="5" w:space="0" w:color="D9E5D9"/>
              <w:right w:val="single" w:sz="5" w:space="0" w:color="D9E5D9"/>
            </w:tcBorders>
            <w:shd w:val="clear" w:color="auto" w:fill="EAF4EA"/>
            <w:tcMar>
              <w:top w:w="90" w:type="dxa"/>
              <w:left w:w="90" w:type="dxa"/>
              <w:bottom w:w="90" w:type="dxa"/>
              <w:right w:w="90" w:type="dxa"/>
            </w:tcMar>
          </w:tcPr>
          <w:p w14:paraId="5FEF7261" w14:textId="77777777" w:rsidR="00661C98" w:rsidRPr="007C248D" w:rsidRDefault="00D1551C">
            <w:pPr>
              <w:rPr>
                <w:rFonts w:asciiTheme="minorHAnsi" w:hAnsiTheme="minorHAnsi"/>
                <w:sz w:val="22"/>
              </w:rPr>
            </w:pPr>
            <w:r w:rsidRPr="007C248D">
              <w:rPr>
                <w:rFonts w:asciiTheme="minorHAnsi" w:hAnsiTheme="minorHAnsi"/>
                <w:b/>
                <w:color w:val="2E7D32"/>
                <w:sz w:val="22"/>
              </w:rPr>
              <w:t>Inclusive innovation and advocacy</w:t>
            </w:r>
          </w:p>
        </w:tc>
        <w:tc>
          <w:tcPr>
            <w:tcW w:w="5162" w:type="dxa"/>
            <w:tcBorders>
              <w:top w:val="single" w:sz="5" w:space="0" w:color="D9E5D9"/>
              <w:left w:val="single" w:sz="5" w:space="0" w:color="D9E5D9"/>
              <w:bottom w:val="single" w:sz="5" w:space="0" w:color="D9E5D9"/>
              <w:right w:val="single" w:sz="5" w:space="0" w:color="D9E5D9"/>
            </w:tcBorders>
            <w:tcMar>
              <w:top w:w="90" w:type="dxa"/>
              <w:left w:w="90" w:type="dxa"/>
              <w:bottom w:w="90" w:type="dxa"/>
              <w:right w:w="90" w:type="dxa"/>
            </w:tcMar>
          </w:tcPr>
          <w:p w14:paraId="0003D2B3" w14:textId="77777777" w:rsidR="00661C98" w:rsidRPr="007C248D" w:rsidRDefault="00D1551C">
            <w:pPr>
              <w:rPr>
                <w:rFonts w:asciiTheme="minorHAnsi" w:hAnsiTheme="minorHAnsi"/>
                <w:sz w:val="22"/>
              </w:rPr>
            </w:pPr>
            <w:r w:rsidRPr="007C248D">
              <w:rPr>
                <w:rFonts w:asciiTheme="minorHAnsi" w:hAnsiTheme="minorHAnsi"/>
                <w:sz w:val="22"/>
              </w:rPr>
              <w:t>Connecting local innovators, women-led enterprise, youth leadership and community knowledge to healthier outcomes and wider influence.</w:t>
            </w:r>
          </w:p>
        </w:tc>
      </w:tr>
    </w:tbl>
    <w:p w14:paraId="5BC55B60" w14:textId="77777777" w:rsidR="00661C98" w:rsidRPr="007C248D" w:rsidRDefault="00661C98">
      <w:pPr>
        <w:spacing w:after="0"/>
        <w:rPr>
          <w:rFonts w:asciiTheme="minorHAnsi" w:hAnsiTheme="minorHAnsi"/>
          <w:sz w:val="22"/>
        </w:rPr>
      </w:pPr>
    </w:p>
    <w:p w14:paraId="3D4F6A06" w14:textId="77777777" w:rsidR="00661C98" w:rsidRPr="007C248D" w:rsidRDefault="00D1551C" w:rsidP="007C248D">
      <w:pPr>
        <w:spacing w:before="160" w:after="80"/>
        <w:jc w:val="both"/>
        <w:rPr>
          <w:rFonts w:asciiTheme="minorHAnsi" w:hAnsiTheme="minorHAnsi"/>
          <w:sz w:val="22"/>
        </w:rPr>
      </w:pPr>
      <w:r w:rsidRPr="007C248D">
        <w:rPr>
          <w:rFonts w:asciiTheme="minorHAnsi" w:hAnsiTheme="minorHAnsi"/>
          <w:b/>
          <w:color w:val="8B0F18"/>
          <w:sz w:val="22"/>
        </w:rPr>
        <w:t>Strategic advisory and innovation role</w:t>
      </w:r>
    </w:p>
    <w:p w14:paraId="2AA338CE" w14:textId="77777777" w:rsidR="00661C98" w:rsidRPr="007C248D" w:rsidRDefault="00D1551C" w:rsidP="007C248D">
      <w:pPr>
        <w:spacing w:after="80" w:line="252" w:lineRule="auto"/>
        <w:jc w:val="both"/>
        <w:rPr>
          <w:rFonts w:asciiTheme="minorHAnsi" w:hAnsiTheme="minorHAnsi"/>
          <w:sz w:val="22"/>
        </w:rPr>
      </w:pPr>
      <w:r w:rsidRPr="007C248D">
        <w:rPr>
          <w:rFonts w:asciiTheme="minorHAnsi" w:hAnsiTheme="minorHAnsi"/>
          <w:color w:val="222222"/>
          <w:sz w:val="22"/>
        </w:rPr>
        <w:t>Subvators also supports strategic advisory work on partnerships, fundraising, innovation hubs, university linkages, North-South collaboration and responsible AI integration. This allows the Hub to translate institutional priorities into partner-ready concepts while keeping community health, inclusion and applied learning at the centre of collaboration design.</w:t>
      </w:r>
    </w:p>
    <w:p w14:paraId="52C6FB65" w14:textId="77777777" w:rsidR="00661C98" w:rsidRPr="007C248D" w:rsidRDefault="00D1551C">
      <w:pPr>
        <w:spacing w:before="160" w:after="80"/>
        <w:rPr>
          <w:rFonts w:asciiTheme="minorHAnsi" w:hAnsiTheme="minorHAnsi"/>
          <w:sz w:val="22"/>
        </w:rPr>
      </w:pPr>
      <w:r w:rsidRPr="007C248D">
        <w:rPr>
          <w:rFonts w:asciiTheme="minorHAnsi" w:hAnsiTheme="minorHAnsi"/>
          <w:b/>
          <w:color w:val="8B0F18"/>
          <w:sz w:val="22"/>
        </w:rPr>
        <w:t>Strategic partner ecosystem</w:t>
      </w:r>
    </w:p>
    <w:p w14:paraId="36A73340" w14:textId="77777777" w:rsidR="00661C98" w:rsidRPr="007C248D" w:rsidRDefault="00D1551C" w:rsidP="00615FDC">
      <w:pPr>
        <w:spacing w:after="80" w:line="252" w:lineRule="auto"/>
        <w:jc w:val="both"/>
        <w:rPr>
          <w:rFonts w:asciiTheme="minorHAnsi" w:hAnsiTheme="minorHAnsi"/>
          <w:sz w:val="22"/>
        </w:rPr>
      </w:pPr>
      <w:r w:rsidRPr="007C248D">
        <w:rPr>
          <w:rFonts w:asciiTheme="minorHAnsi" w:hAnsiTheme="minorHAnsi"/>
          <w:color w:val="222222"/>
          <w:sz w:val="22"/>
        </w:rPr>
        <w:t>These short profiles are written for website use and show how Subvators builds an ecosystem in which health, wellbeing, livelihoods, protection and citizen voice reinforce one another.</w:t>
      </w:r>
    </w:p>
    <w:p w14:paraId="4765E4C2" w14:textId="77777777" w:rsidR="00661C98" w:rsidRPr="007C248D" w:rsidRDefault="00D1551C">
      <w:pPr>
        <w:spacing w:before="100" w:after="0"/>
        <w:rPr>
          <w:rFonts w:asciiTheme="minorHAnsi" w:hAnsiTheme="minorHAnsi"/>
          <w:sz w:val="22"/>
        </w:rPr>
      </w:pPr>
      <w:r w:rsidRPr="007C248D">
        <w:rPr>
          <w:rFonts w:asciiTheme="minorHAnsi" w:hAnsiTheme="minorHAnsi"/>
          <w:b/>
          <w:color w:val="8B0F18"/>
          <w:sz w:val="22"/>
        </w:rPr>
        <w:t>COTRR Africa</w:t>
      </w:r>
    </w:p>
    <w:p w14:paraId="2B05BD65" w14:textId="77777777" w:rsidR="00661C98" w:rsidRPr="007C248D" w:rsidRDefault="00D1551C">
      <w:pPr>
        <w:spacing w:after="20"/>
        <w:rPr>
          <w:rFonts w:asciiTheme="minorHAnsi" w:hAnsiTheme="minorHAnsi"/>
          <w:sz w:val="22"/>
        </w:rPr>
      </w:pPr>
      <w:r w:rsidRPr="007C248D">
        <w:rPr>
          <w:rFonts w:asciiTheme="minorHAnsi" w:hAnsiTheme="minorHAnsi"/>
          <w:b/>
          <w:color w:val="2E7D32"/>
          <w:sz w:val="22"/>
        </w:rPr>
        <w:t>Community resilience, nutrition, WASH and last-mile inclusion</w:t>
      </w:r>
    </w:p>
    <w:p w14:paraId="163F9A25" w14:textId="77777777" w:rsidR="00661C98" w:rsidRPr="007C248D" w:rsidRDefault="00D1551C" w:rsidP="007C248D">
      <w:pPr>
        <w:spacing w:after="40" w:line="252" w:lineRule="auto"/>
        <w:jc w:val="both"/>
        <w:rPr>
          <w:rFonts w:asciiTheme="minorHAnsi" w:hAnsiTheme="minorHAnsi"/>
          <w:sz w:val="22"/>
        </w:rPr>
      </w:pPr>
      <w:r w:rsidRPr="007C248D">
        <w:rPr>
          <w:rFonts w:asciiTheme="minorHAnsi" w:hAnsiTheme="minorHAnsi"/>
          <w:color w:val="222222"/>
          <w:sz w:val="22"/>
        </w:rPr>
        <w:t>COTRR Africa is a Kenya-based grassroots organisation that works directly with communities and families to strengthen resilience, inclusive livelihoods and local support systems. Its practice spans climate-smart agriculture, food security, community health promotion, water and sanitation access, and outreach to vulnerable groups. Within the Subvators ecosystem, COTRR Africa is especially important as a field implementation and mobilisation partner that can translate community priorities into practical health, hygiene, nutrition and household resilience results.</w:t>
      </w:r>
    </w:p>
    <w:p w14:paraId="210937BD" w14:textId="77777777" w:rsidR="00661C98" w:rsidRPr="007C248D" w:rsidRDefault="00D1551C">
      <w:pPr>
        <w:spacing w:before="100" w:after="0"/>
        <w:rPr>
          <w:rFonts w:asciiTheme="minorHAnsi" w:hAnsiTheme="minorHAnsi"/>
          <w:sz w:val="22"/>
        </w:rPr>
      </w:pPr>
      <w:r w:rsidRPr="007C248D">
        <w:rPr>
          <w:rFonts w:asciiTheme="minorHAnsi" w:hAnsiTheme="minorHAnsi"/>
          <w:b/>
          <w:color w:val="8B0F18"/>
          <w:sz w:val="22"/>
        </w:rPr>
        <w:t>YADEN East Africa</w:t>
      </w:r>
    </w:p>
    <w:p w14:paraId="79AC0D45" w14:textId="77777777" w:rsidR="00661C98" w:rsidRPr="007C248D" w:rsidRDefault="00D1551C">
      <w:pPr>
        <w:spacing w:after="20"/>
        <w:rPr>
          <w:rFonts w:asciiTheme="minorHAnsi" w:hAnsiTheme="minorHAnsi"/>
          <w:sz w:val="22"/>
        </w:rPr>
      </w:pPr>
      <w:r w:rsidRPr="007C248D">
        <w:rPr>
          <w:rFonts w:asciiTheme="minorHAnsi" w:hAnsiTheme="minorHAnsi"/>
          <w:b/>
          <w:color w:val="2E7D32"/>
          <w:sz w:val="22"/>
        </w:rPr>
        <w:t>Youth empowerment, SRHR, civic participation and behaviour change</w:t>
      </w:r>
    </w:p>
    <w:p w14:paraId="5886186F" w14:textId="77777777" w:rsidR="00661C98" w:rsidRPr="007C248D" w:rsidRDefault="00D1551C" w:rsidP="007C248D">
      <w:pPr>
        <w:spacing w:after="40" w:line="252" w:lineRule="auto"/>
        <w:jc w:val="both"/>
        <w:rPr>
          <w:rFonts w:asciiTheme="minorHAnsi" w:hAnsiTheme="minorHAnsi"/>
          <w:sz w:val="22"/>
        </w:rPr>
      </w:pPr>
      <w:r w:rsidRPr="007C248D">
        <w:rPr>
          <w:rFonts w:asciiTheme="minorHAnsi" w:hAnsiTheme="minorHAnsi"/>
          <w:color w:val="222222"/>
          <w:sz w:val="22"/>
        </w:rPr>
        <w:t>YADEN East Africa equips young people to lead change through civic engagement, enterprise support, research and community-centred programming. Its contribution is particularly strong where youth leadership intersects with health and protection: adolescent wellbeing, gender equality, sexual and reproductive health awareness, behaviour-change communication and socially grounded innovation. This makes YADEN a valuable partner for programmes that require trusted youth mobilisation alongside wellbeing and prevention outcomes.</w:t>
      </w:r>
    </w:p>
    <w:p w14:paraId="2B644AA5" w14:textId="77777777" w:rsidR="00661C98" w:rsidRPr="007C248D" w:rsidRDefault="00D1551C">
      <w:pPr>
        <w:spacing w:before="100" w:after="0"/>
        <w:rPr>
          <w:rFonts w:asciiTheme="minorHAnsi" w:hAnsiTheme="minorHAnsi"/>
          <w:sz w:val="22"/>
        </w:rPr>
      </w:pPr>
      <w:r w:rsidRPr="007C248D">
        <w:rPr>
          <w:rFonts w:asciiTheme="minorHAnsi" w:hAnsiTheme="minorHAnsi"/>
          <w:b/>
          <w:color w:val="8B0F18"/>
          <w:sz w:val="22"/>
        </w:rPr>
        <w:t>Spills of Eden</w:t>
      </w:r>
    </w:p>
    <w:p w14:paraId="41905A22" w14:textId="77777777" w:rsidR="00661C98" w:rsidRPr="007C248D" w:rsidRDefault="00D1551C">
      <w:pPr>
        <w:spacing w:after="20"/>
        <w:rPr>
          <w:rFonts w:asciiTheme="minorHAnsi" w:hAnsiTheme="minorHAnsi"/>
          <w:sz w:val="22"/>
        </w:rPr>
      </w:pPr>
      <w:r w:rsidRPr="007C248D">
        <w:rPr>
          <w:rFonts w:asciiTheme="minorHAnsi" w:hAnsiTheme="minorHAnsi"/>
          <w:b/>
          <w:color w:val="2E7D32"/>
          <w:sz w:val="22"/>
        </w:rPr>
        <w:t>Nature-based wellness, herbal enterprise and restorative livelihoods</w:t>
      </w:r>
    </w:p>
    <w:p w14:paraId="59DE9B0C" w14:textId="77777777" w:rsidR="00661C98" w:rsidRPr="007C248D" w:rsidRDefault="00D1551C" w:rsidP="007C248D">
      <w:pPr>
        <w:spacing w:after="40" w:line="252" w:lineRule="auto"/>
        <w:jc w:val="both"/>
        <w:rPr>
          <w:rFonts w:asciiTheme="minorHAnsi" w:hAnsiTheme="minorHAnsi"/>
          <w:sz w:val="22"/>
        </w:rPr>
      </w:pPr>
      <w:r w:rsidRPr="007C248D">
        <w:rPr>
          <w:rFonts w:asciiTheme="minorHAnsi" w:hAnsiTheme="minorHAnsi"/>
          <w:color w:val="222222"/>
          <w:sz w:val="22"/>
        </w:rPr>
        <w:t>Spills of Eden brings a distinctive health and wellness dimension to the Subvators network. Through herbal products, natural wellness experiences, restorative spaces and women-linked value chains, it connects enterprise development with preventive health, healing, nutrition culture and community wellbeing. Its model is especially relevant for programmes that want to combine local enterprise, indigenous knowledge, women's economic participation and holistic health promotion.</w:t>
      </w:r>
    </w:p>
    <w:p w14:paraId="4BEF0D40" w14:textId="77777777" w:rsidR="00661C98" w:rsidRPr="007C248D" w:rsidRDefault="00D1551C">
      <w:pPr>
        <w:spacing w:before="100" w:after="0"/>
        <w:rPr>
          <w:rFonts w:asciiTheme="minorHAnsi" w:hAnsiTheme="minorHAnsi"/>
          <w:sz w:val="22"/>
        </w:rPr>
      </w:pPr>
      <w:r w:rsidRPr="007C248D">
        <w:rPr>
          <w:rFonts w:asciiTheme="minorHAnsi" w:hAnsiTheme="minorHAnsi"/>
          <w:b/>
          <w:color w:val="8B0F18"/>
          <w:sz w:val="22"/>
        </w:rPr>
        <w:t>My Guardian</w:t>
      </w:r>
    </w:p>
    <w:p w14:paraId="2CDC2DB0" w14:textId="77777777" w:rsidR="00661C98" w:rsidRPr="007C248D" w:rsidRDefault="00D1551C">
      <w:pPr>
        <w:spacing w:after="20"/>
        <w:rPr>
          <w:rFonts w:asciiTheme="minorHAnsi" w:hAnsiTheme="minorHAnsi"/>
          <w:sz w:val="22"/>
        </w:rPr>
      </w:pPr>
      <w:r w:rsidRPr="007C248D">
        <w:rPr>
          <w:rFonts w:asciiTheme="minorHAnsi" w:hAnsiTheme="minorHAnsi"/>
          <w:b/>
          <w:color w:val="2E7D32"/>
          <w:sz w:val="22"/>
        </w:rPr>
        <w:t>Safe migration, psychosocial support and digital protection services</w:t>
      </w:r>
    </w:p>
    <w:p w14:paraId="15D17FD3" w14:textId="77777777" w:rsidR="00661C98" w:rsidRPr="007C248D" w:rsidRDefault="00D1551C" w:rsidP="007C248D">
      <w:pPr>
        <w:spacing w:after="40" w:line="252" w:lineRule="auto"/>
        <w:jc w:val="both"/>
        <w:rPr>
          <w:rFonts w:asciiTheme="minorHAnsi" w:hAnsiTheme="minorHAnsi"/>
          <w:sz w:val="22"/>
        </w:rPr>
      </w:pPr>
      <w:r w:rsidRPr="007C248D">
        <w:rPr>
          <w:rFonts w:asciiTheme="minorHAnsi" w:hAnsiTheme="minorHAnsi"/>
          <w:color w:val="222222"/>
          <w:sz w:val="22"/>
        </w:rPr>
        <w:t>My Guardian is a digital safety and support platform serving migrant workers, families, travellers and other users through location-based emergency support, messaging, translation and user-centred digital services. Its relevance to Subvators lies in the health-protection interface: safe migration pathways, crisis response, psychosocial support, healthcare access for abused migrants, and practical protection tools for people at risk. It brings a strong digital and transnational protection layer to a predominantly community-rooted ecosystem.</w:t>
      </w:r>
    </w:p>
    <w:p w14:paraId="21216EB0" w14:textId="77777777" w:rsidR="00661C98" w:rsidRPr="007C248D" w:rsidRDefault="00D1551C">
      <w:pPr>
        <w:spacing w:before="100" w:after="0"/>
        <w:rPr>
          <w:rFonts w:asciiTheme="minorHAnsi" w:hAnsiTheme="minorHAnsi"/>
          <w:sz w:val="22"/>
        </w:rPr>
      </w:pPr>
      <w:r w:rsidRPr="007C248D">
        <w:rPr>
          <w:rFonts w:asciiTheme="minorHAnsi" w:hAnsiTheme="minorHAnsi"/>
          <w:b/>
          <w:color w:val="8B0F18"/>
          <w:sz w:val="22"/>
        </w:rPr>
        <w:lastRenderedPageBreak/>
        <w:t>Carledorian</w:t>
      </w:r>
    </w:p>
    <w:p w14:paraId="1AA00FC9" w14:textId="77777777" w:rsidR="00661C98" w:rsidRPr="007C248D" w:rsidRDefault="00D1551C">
      <w:pPr>
        <w:spacing w:after="20"/>
        <w:rPr>
          <w:rFonts w:asciiTheme="minorHAnsi" w:hAnsiTheme="minorHAnsi"/>
          <w:sz w:val="22"/>
        </w:rPr>
      </w:pPr>
      <w:r w:rsidRPr="007C248D">
        <w:rPr>
          <w:rFonts w:asciiTheme="minorHAnsi" w:hAnsiTheme="minorHAnsi"/>
          <w:b/>
          <w:color w:val="2E7D32"/>
          <w:sz w:val="22"/>
        </w:rPr>
        <w:t>Coffee, African food innovation and cross-border value chains</w:t>
      </w:r>
    </w:p>
    <w:p w14:paraId="098A4E31" w14:textId="77777777" w:rsidR="00661C98" w:rsidRPr="007C248D" w:rsidRDefault="00D1551C" w:rsidP="00234C15">
      <w:pPr>
        <w:spacing w:after="40" w:line="252" w:lineRule="auto"/>
        <w:jc w:val="both"/>
        <w:rPr>
          <w:rFonts w:asciiTheme="minorHAnsi" w:hAnsiTheme="minorHAnsi"/>
          <w:sz w:val="22"/>
        </w:rPr>
      </w:pPr>
      <w:r w:rsidRPr="007C248D">
        <w:rPr>
          <w:rFonts w:asciiTheme="minorHAnsi" w:hAnsiTheme="minorHAnsi"/>
          <w:color w:val="222222"/>
          <w:sz w:val="22"/>
        </w:rPr>
        <w:t>Carledorian brings an enterprise and value-chain dimension to the Subvators ecosystem through BarakaBlend coffee and wider African products, including tea, herbs, spices and natural honey. Its coffee work links Ugandan highland production with regional and Europe-facing markets, while its wider innovation platform connects business services, food and meat processing, and cakes and pastry skills training. This strengthens practical pathways for agribusiness, skills development, women and youth enterprise, diaspora trade and responsible cross-border value chains.</w:t>
      </w:r>
    </w:p>
    <w:tbl>
      <w:tblPr>
        <w:tblW w:w="0" w:type="auto"/>
        <w:jc w:val="center"/>
        <w:tblLook w:val="04A0" w:firstRow="1" w:lastRow="0" w:firstColumn="1" w:lastColumn="0" w:noHBand="0" w:noVBand="1"/>
      </w:tblPr>
      <w:tblGrid>
        <w:gridCol w:w="10299"/>
      </w:tblGrid>
      <w:tr w:rsidR="00661C98" w:rsidRPr="007C248D" w14:paraId="466D269A" w14:textId="77777777">
        <w:trPr>
          <w:jc w:val="center"/>
        </w:trPr>
        <w:tc>
          <w:tcPr>
            <w:tcW w:w="10325" w:type="dxa"/>
            <w:tcBorders>
              <w:top w:val="single" w:sz="10" w:space="0" w:color="2E7D32"/>
              <w:left w:val="single" w:sz="10" w:space="0" w:color="2E7D32"/>
              <w:bottom w:val="single" w:sz="10" w:space="0" w:color="2E7D32"/>
              <w:right w:val="single" w:sz="10" w:space="0" w:color="2E7D32"/>
            </w:tcBorders>
            <w:shd w:val="clear" w:color="auto" w:fill="EAF4EA"/>
            <w:tcMar>
              <w:top w:w="110" w:type="dxa"/>
              <w:left w:w="140" w:type="dxa"/>
              <w:bottom w:w="110" w:type="dxa"/>
              <w:right w:w="140" w:type="dxa"/>
            </w:tcMar>
          </w:tcPr>
          <w:p w14:paraId="19E65BCF" w14:textId="77777777" w:rsidR="00661C98" w:rsidRPr="007C248D" w:rsidRDefault="00D1551C">
            <w:pPr>
              <w:spacing w:after="40"/>
              <w:rPr>
                <w:rFonts w:asciiTheme="minorHAnsi" w:hAnsiTheme="minorHAnsi"/>
                <w:sz w:val="22"/>
              </w:rPr>
            </w:pPr>
            <w:r w:rsidRPr="007C248D">
              <w:rPr>
                <w:rFonts w:asciiTheme="minorHAnsi" w:hAnsiTheme="minorHAnsi"/>
                <w:b/>
                <w:color w:val="8B0F18"/>
                <w:sz w:val="22"/>
              </w:rPr>
              <w:t>Why this mix matters</w:t>
            </w:r>
          </w:p>
          <w:p w14:paraId="355CDBE8" w14:textId="77777777" w:rsidR="00661C98" w:rsidRPr="007C248D" w:rsidRDefault="00D1551C">
            <w:pPr>
              <w:spacing w:after="0"/>
              <w:rPr>
                <w:rFonts w:asciiTheme="minorHAnsi" w:hAnsiTheme="minorHAnsi"/>
                <w:sz w:val="22"/>
              </w:rPr>
            </w:pPr>
            <w:r w:rsidRPr="007C248D">
              <w:rPr>
                <w:rFonts w:asciiTheme="minorHAnsi" w:hAnsiTheme="minorHAnsi"/>
                <w:color w:val="222222"/>
                <w:sz w:val="22"/>
              </w:rPr>
              <w:t>Together, these partners show how Subvators is building a health-aware grassroots ecosystem: COTRR Africa strengthens resilience, nutrition and WASH; YADEN East Africa mobilises youth wellbeing; Spills of Eden deepens wellness and women-led enterprise; My Guardian extends migrant protection; and Carledorian links African food innovation to livelihood pathways. This combination supports credible local delivery, stronger partner systems and practical routes from community realities to policy and donor engagement.</w:t>
            </w:r>
          </w:p>
        </w:tc>
      </w:tr>
    </w:tbl>
    <w:p w14:paraId="646EBB2F" w14:textId="77777777" w:rsidR="00661C98" w:rsidRPr="007C248D" w:rsidRDefault="00661C98">
      <w:pPr>
        <w:spacing w:after="20"/>
        <w:rPr>
          <w:rFonts w:asciiTheme="minorHAnsi" w:hAnsiTheme="minorHAnsi"/>
          <w:sz w:val="22"/>
        </w:rPr>
      </w:pPr>
    </w:p>
    <w:tbl>
      <w:tblPr>
        <w:tblW w:w="0" w:type="auto"/>
        <w:jc w:val="center"/>
        <w:tblLook w:val="04A0" w:firstRow="1" w:lastRow="0" w:firstColumn="1" w:lastColumn="0" w:noHBand="0" w:noVBand="1"/>
      </w:tblPr>
      <w:tblGrid>
        <w:gridCol w:w="10299"/>
      </w:tblGrid>
      <w:tr w:rsidR="00661C98" w:rsidRPr="007C248D" w14:paraId="1CE3A5E2" w14:textId="77777777" w:rsidTr="00432352">
        <w:trPr>
          <w:jc w:val="center"/>
        </w:trPr>
        <w:tc>
          <w:tcPr>
            <w:tcW w:w="10299" w:type="dxa"/>
            <w:tcBorders>
              <w:top w:val="single" w:sz="10" w:space="0" w:color="2E7D32"/>
              <w:left w:val="single" w:sz="10" w:space="0" w:color="2E7D32"/>
              <w:bottom w:val="single" w:sz="10" w:space="0" w:color="2E7D32"/>
              <w:right w:val="single" w:sz="10" w:space="0" w:color="2E7D32"/>
            </w:tcBorders>
            <w:shd w:val="clear" w:color="auto" w:fill="EAF4EA"/>
            <w:tcMar>
              <w:top w:w="110" w:type="dxa"/>
              <w:left w:w="140" w:type="dxa"/>
              <w:bottom w:w="110" w:type="dxa"/>
              <w:right w:w="140" w:type="dxa"/>
            </w:tcMar>
          </w:tcPr>
          <w:p w14:paraId="601041D8" w14:textId="77777777" w:rsidR="00661C98" w:rsidRPr="007C248D" w:rsidRDefault="00D1551C">
            <w:pPr>
              <w:spacing w:after="40"/>
              <w:rPr>
                <w:rFonts w:asciiTheme="minorHAnsi" w:hAnsiTheme="minorHAnsi"/>
                <w:sz w:val="22"/>
              </w:rPr>
            </w:pPr>
            <w:r w:rsidRPr="007C248D">
              <w:rPr>
                <w:rFonts w:asciiTheme="minorHAnsi" w:hAnsiTheme="minorHAnsi"/>
                <w:b/>
                <w:color w:val="8B0F18"/>
                <w:sz w:val="22"/>
              </w:rPr>
              <w:t>Website-ready positioning statement</w:t>
            </w:r>
          </w:p>
          <w:p w14:paraId="6ABAD754" w14:textId="77777777" w:rsidR="00661C98" w:rsidRPr="007C248D" w:rsidRDefault="00D1551C">
            <w:pPr>
              <w:spacing w:after="0"/>
              <w:rPr>
                <w:rFonts w:asciiTheme="minorHAnsi" w:hAnsiTheme="minorHAnsi"/>
                <w:sz w:val="22"/>
              </w:rPr>
            </w:pPr>
            <w:r w:rsidRPr="007C248D">
              <w:rPr>
                <w:rFonts w:asciiTheme="minorHAnsi" w:hAnsiTheme="minorHAnsi"/>
                <w:color w:val="222222"/>
                <w:sz w:val="22"/>
              </w:rPr>
              <w:t>Subvators Hub is a Kenya-based grassroots innovation and partnership platform that helps community-rooted organisations grow stronger health, wellbeing and livelihood outcomes through institutional support, action-policy research, fundraising, strategic partnerships and AI-enabled systems. By connecting local actors with policymakers, donors and global partners, the Hub helps locally led solutions move from the margins to the centre of reform.</w:t>
            </w:r>
          </w:p>
        </w:tc>
      </w:tr>
    </w:tbl>
    <w:p w14:paraId="645F85F2" w14:textId="77777777" w:rsidR="00D1551C" w:rsidRPr="007C248D" w:rsidRDefault="00D1551C">
      <w:pPr>
        <w:rPr>
          <w:rFonts w:asciiTheme="minorHAnsi" w:hAnsiTheme="minorHAnsi"/>
          <w:sz w:val="22"/>
        </w:rPr>
      </w:pPr>
    </w:p>
    <w:sectPr w:rsidR="00D1551C" w:rsidRPr="007C248D" w:rsidSect="00034616">
      <w:headerReference w:type="default" r:id="rId9"/>
      <w:footerReference w:type="default" r:id="rId10"/>
      <w:pgSz w:w="11909" w:h="16834"/>
      <w:pgMar w:top="691" w:right="792" w:bottom="691" w:left="792"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18372" w14:textId="77777777" w:rsidR="00FE1ECB" w:rsidRDefault="00FE1ECB">
      <w:pPr>
        <w:spacing w:after="0" w:line="240" w:lineRule="auto"/>
      </w:pPr>
      <w:r>
        <w:separator/>
      </w:r>
    </w:p>
  </w:endnote>
  <w:endnote w:type="continuationSeparator" w:id="0">
    <w:p w14:paraId="5AA1D490" w14:textId="77777777" w:rsidR="00FE1ECB" w:rsidRDefault="00FE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C04B" w14:textId="77777777" w:rsidR="00661C98" w:rsidRDefault="00D1551C">
    <w:pPr>
      <w:pStyle w:val="Footer"/>
      <w:jc w:val="center"/>
    </w:pPr>
    <w:r>
      <w:rPr>
        <w:color w:val="6D6D6D"/>
        <w:sz w:val="14"/>
      </w:rPr>
      <w:t xml:space="preserve">Kenya: Windsor Close, </w:t>
    </w:r>
    <w:proofErr w:type="spellStart"/>
    <w:r>
      <w:rPr>
        <w:color w:val="6D6D6D"/>
        <w:sz w:val="14"/>
      </w:rPr>
      <w:t>Alozi</w:t>
    </w:r>
    <w:proofErr w:type="spellEnd"/>
    <w:r>
      <w:rPr>
        <w:color w:val="6D6D6D"/>
        <w:sz w:val="14"/>
      </w:rPr>
      <w:t xml:space="preserve"> Estate Rd, Nairobi | Netherlands: Fort Prins Willem 46, 5246 BB Rosmalen | subvators@gmail.com | lucydt@subvators.nl | +254 (0)790030665 | +31 651 451 542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70FDB" w14:textId="77777777" w:rsidR="00FE1ECB" w:rsidRDefault="00FE1ECB">
      <w:pPr>
        <w:spacing w:after="0" w:line="240" w:lineRule="auto"/>
      </w:pPr>
      <w:r>
        <w:separator/>
      </w:r>
    </w:p>
  </w:footnote>
  <w:footnote w:type="continuationSeparator" w:id="0">
    <w:p w14:paraId="62FA5275" w14:textId="77777777" w:rsidR="00FE1ECB" w:rsidRDefault="00FE1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BD87" w14:textId="423CCB72" w:rsidR="00661C98" w:rsidRDefault="00D1551C">
    <w:pPr>
      <w:pStyle w:val="Header"/>
      <w:jc w:val="right"/>
    </w:pPr>
    <w:proofErr w:type="spellStart"/>
    <w:r>
      <w:rPr>
        <w:color w:val="8B0F18"/>
        <w:sz w:val="16"/>
      </w:rPr>
      <w:t>Subvators</w:t>
    </w:r>
    <w:proofErr w:type="spellEnd"/>
    <w:r>
      <w:rPr>
        <w:color w:val="8B0F18"/>
        <w:sz w:val="16"/>
      </w:rPr>
      <w:t xml:space="preserve"> Hub | </w:t>
    </w:r>
    <w:r w:rsidR="00B505DD">
      <w:rPr>
        <w:color w:val="8B0F18"/>
        <w:sz w:val="16"/>
      </w:rPr>
      <w:t>P</w:t>
    </w:r>
    <w:r>
      <w:rPr>
        <w:color w:val="8B0F18"/>
        <w:sz w:val="16"/>
      </w:rPr>
      <w:t>rofile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36859">
    <w:abstractNumId w:val="8"/>
  </w:num>
  <w:num w:numId="2" w16cid:durableId="729427634">
    <w:abstractNumId w:val="6"/>
  </w:num>
  <w:num w:numId="3" w16cid:durableId="1332292648">
    <w:abstractNumId w:val="5"/>
  </w:num>
  <w:num w:numId="4" w16cid:durableId="350495573">
    <w:abstractNumId w:val="4"/>
  </w:num>
  <w:num w:numId="5" w16cid:durableId="1169246405">
    <w:abstractNumId w:val="7"/>
  </w:num>
  <w:num w:numId="6" w16cid:durableId="528877218">
    <w:abstractNumId w:val="3"/>
  </w:num>
  <w:num w:numId="7" w16cid:durableId="711269126">
    <w:abstractNumId w:val="2"/>
  </w:num>
  <w:num w:numId="8" w16cid:durableId="321741122">
    <w:abstractNumId w:val="1"/>
  </w:num>
  <w:num w:numId="9" w16cid:durableId="384184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C15"/>
    <w:rsid w:val="0029639D"/>
    <w:rsid w:val="00326F90"/>
    <w:rsid w:val="00432352"/>
    <w:rsid w:val="00615FDC"/>
    <w:rsid w:val="00661C98"/>
    <w:rsid w:val="007C248D"/>
    <w:rsid w:val="00934798"/>
    <w:rsid w:val="00AA1D8D"/>
    <w:rsid w:val="00B47730"/>
    <w:rsid w:val="00B505DD"/>
    <w:rsid w:val="00CB0664"/>
    <w:rsid w:val="00D1551C"/>
    <w:rsid w:val="00FC693F"/>
    <w:rsid w:val="00FE1E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52FF9"/>
  <w14:defaultImageDpi w14:val="300"/>
  <w15:docId w15:val="{7CAFDDBC-112A-40C1-A4EA-525DAD67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Subvators Hub Website Profile</dc:title>
  <dc:subject>Website profile</dc:subject>
  <dc:creator>Lucy Den Teuling</dc:creator>
  <cp:keywords>Subvators Hub; partners; grassroots innovation; health; livelihoods</cp:keywords>
  <dc:description/>
  <cp:lastModifiedBy>Lucy Den Teuling</cp:lastModifiedBy>
  <cp:revision>2</cp:revision>
  <dcterms:created xsi:type="dcterms:W3CDTF">2026-06-29T06:59:00Z</dcterms:created>
  <dcterms:modified xsi:type="dcterms:W3CDTF">2026-06-29T06:59:00Z</dcterms:modified>
  <cp:category/>
</cp:coreProperties>
</file>