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Primitive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12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 Integers. Holds only integers between -2^31 ~ (2^31)-1. Generally used over short and long.</w:t>
            </w:r>
            <w:r w:rsidDel="00000000" w:rsidR="00000000" w:rsidRPr="00000000">
              <w:rPr>
                <w:rtl w:val="0"/>
              </w:rPr>
            </w:r>
          </w:p>
        </w:tc>
      </w:tr>
      <w:tr>
        <w:trPr>
          <w:trHeight w:val="11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Double: Holds real numbers (including decimal or fractional numbers). Generally used over float.</w:t>
            </w:r>
            <w:r w:rsidDel="00000000" w:rsidR="00000000" w:rsidRPr="00000000">
              <w:rPr>
                <w:rtl w:val="0"/>
              </w:rPr>
            </w:r>
          </w:p>
        </w:tc>
      </w:tr>
      <w:tr>
        <w:trPr>
          <w:trHeight w:val="10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Boolean: Only hold the values of True or False. [! the outcome values True and False are not strings so don’t enclose them with ‘’!]</w:t>
            </w:r>
            <w:r w:rsidDel="00000000" w:rsidR="00000000" w:rsidRPr="00000000">
              <w:rPr>
                <w:rtl w:val="0"/>
              </w:rPr>
            </w:r>
          </w:p>
        </w:tc>
      </w:tr>
      <w:tr>
        <w:trPr>
          <w:trHeight w:val="106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 Holds real numbers (including decimal or fractional numbers)</w:t>
            </w:r>
            <w:r w:rsidDel="00000000" w:rsidR="00000000" w:rsidRPr="00000000">
              <w:rPr>
                <w:rtl w:val="0"/>
              </w:rPr>
            </w:r>
          </w:p>
        </w:tc>
      </w:tr>
      <w:tr>
        <w:trPr>
          <w:trHeight w:val="106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char:  Holds any data besides numbers (including alphabets, symbols, special figures)</w:t>
            </w:r>
            <w:r w:rsidDel="00000000" w:rsidR="00000000" w:rsidRPr="00000000">
              <w:rPr>
                <w:rtl w:val="0"/>
              </w:rPr>
            </w:r>
          </w:p>
        </w:tc>
      </w:tr>
      <w:tr>
        <w:trPr>
          <w:trHeight w:val="1100" w:hRule="atLeast"/>
        </w:trP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short: Holds integers between -32768 ~ 32767. Saves more memory when used with small numbers compared to int.</w:t>
            </w:r>
          </w:p>
        </w:tc>
      </w:tr>
      <w:tr>
        <w:trPr>
          <w:trHeight w:val="1140" w:hRule="atLeast"/>
        </w:trPr>
        <w:tc>
          <w:tcPr>
            <w:shd w:fill="fff0a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long: Holds integers between -2^63 ~ (2^63)-1. Only used with huge numbers that don’t fit with int.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help from </w:t>
      </w:r>
      <w:hyperlink r:id="rId5">
        <w:r w:rsidDel="00000000" w:rsidR="00000000" w:rsidRPr="00000000">
          <w:rPr>
            <w:color w:val="1155cc"/>
            <w:u w:val="single"/>
            <w:rtl w:val="0"/>
          </w:rPr>
          <w:t xml:space="preserve">https://blog.udemy.com/java-data-types/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blog.udemy.com/java-data-types/" TargetMode="External"/></Relationships>
</file>