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View Pesa - Expense Tracker</w:t>
      </w:r>
    </w:p>
    <w:p w:rsidR="00000000" w:rsidDel="00000000" w:rsidP="00000000" w:rsidRDefault="00000000" w:rsidRPr="00000000" w14:paraId="00000002">
      <w:pPr>
        <w:rPr/>
      </w:pPr>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View Pesa is a web application designed to help individuals monitor and manage their financial transactions. It allows users to record and categorize their expenditures, income, and savings over a specified period. By providing visual representations, such as graphs or charts, the expense tracker offers insights into spending patterns, enabling users to make informed financial decisions, set budgets, and track progress towards their financial goals.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View Pesa addresses the challenge of effective money management by providing a user-friendly platform for tracking expenses, categorizing spending patterns, and setting and monitoring financial goals. It empowers users to make informed decisions, achieve financial milestones, and lead a more secure financial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scope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Expense Tracking: Users can easily input and categorize their expenses, specifying details such as date, amount, and description.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Category Management: Users can categorize expenses (e.g., food, transportation, entertainment) for better understanding and analysis.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Visual Insights: Incorporate graphs, charts, and visual representations of spending patterns and budget progress to enhance user understanding.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User Profiles: Users can create profiles with personalized settings and preferences.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Secure Authentication: Implement secure login and authentication mechanisms to protect users' financial data.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Transaction Notes: Allow users to add notes or descriptions to each expense for better context.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Risks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Technical Compatibility: Ensuring seamless compatibility across different browsers (Chrome, Firefox, Safari, etc.) and devices (desktop, mobile) might pose challenges during development, potentially leading to inconsistent user experiences.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Limited Budget and Resources: Having constraints on resources (financial, time, personnel) might impact the depth and speed of app development, potentially leading to compromises in feature quality or project timeline.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Inadequate Goal Customization: Users may have diverse financial goals that the app's preset options do not adequately address, potentially limiting its relevance to individual needs.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Competition and Market Saturation: Entering a market with numerous expense tracker apps could make it difficult to differentiate your app and attract a significant user base.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