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S1: Spatio-temporal cocaine and psychostimulant-involved overdose rate ratio by annual change and race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quantity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lwr95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upr95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cocaine_all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cocaine_all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Black vs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cocaine_all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cocaine_no_fent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cocaine_no_fent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Black vs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cocaine_no_fent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psychostim_all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psychostim_all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Black vs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psychostim_all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psychostim_no_fent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psychostim_no_fent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Black vs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psychostim_no_fent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2026-08-11T15:12:24Z</dcterms:modified>
  <cp:category/>
</cp:coreProperties>
</file>