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S1: Spatio-temporal cocaine and psychostimulant-involved overdose rate ratio by annual change and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quantity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lwr95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upr95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cocaine_all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cocaine_all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cocaine_all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cocaine_no_fent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cocaine_no_fent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cocaine_no_fent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psychostim_all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psychostim_all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psychostim_all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psychostim_no_fent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psychostim_no_fent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vs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psychostim_no_fent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2026-08-11T13:22:38Z</dcterms:modified>
  <cp:category/>
</cp:coreProperties>
</file>