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V5.5 - INTEGRATED PROPOSAL</w:t>
      </w:r>
    </w:p>
    <w:p>
      <w:pPr>
        <w:pStyle w:val="SubtitleCustom"/>
        <w:jc w:val="center"/>
      </w:pPr>
      <w:r>
        <w:t>Observability-Constrained Privileged Transfer from Intracranial Dynamics to Scalp EEG</w:t>
        <w:br/>
        <w:t>for Cross-Subject Verbal Working Memory Decoding</w:t>
      </w:r>
    </w:p>
    <w:p>
      <w:pPr>
        <w:pStyle w:val="SubtitleCustom"/>
        <w:jc w:val="center"/>
      </w:pPr>
      <w:r>
        <w:t>Chuyển giao đặc quyền có ràng buộc khả năng quan sát từ động học nội sọ sang scalp EEG</w:t>
        <w:br/>
        <w:t>cho giải mã verbal working memory liên-chủ thể</w:t>
      </w:r>
    </w:p>
    <w:tbl>
      <w:tblPr>
        <w:tblW w:type="auto" w:w="0"/>
        <w:tblLayout w:type="fixed"/>
        <w:tblLook w:firstColumn="1" w:firstRow="1" w:lastColumn="0" w:lastRow="0" w:noHBand="0" w:noVBand="1" w:val="04A0"/>
      </w:tblPr>
      <w:tblGrid>
        <w:gridCol w:w="9525"/>
      </w:tblGrid>
      <w:tr>
        <w:trPr>
          <w:cantSplit/>
          <w:tblHeader/>
        </w:trPr>
        <w:tc>
          <w:tcPr>
            <w:tcW w:type="dxa" w:w="9525"/>
            <w:shd w:fill="EAF1FB"/>
            <w:tcMar>
              <w:top w:w="140" w:type="dxa"/>
              <w:start w:w="160" w:type="dxa"/>
              <w:bottom w:w="140" w:type="dxa"/>
              <w:end w:w="160" w:type="dxa"/>
            </w:tcMar>
          </w:tcPr>
          <w:p>
            <w:pPr>
              <w:jc w:val="center"/>
            </w:pPr>
            <w:r>
              <w:rPr>
                <w:b/>
                <w:color w:val="1B365D"/>
                <w:sz w:val="21"/>
              </w:rPr>
              <w:t>Integrated proposal synchronized to the finalized V5.5 technical specification</w:t>
            </w:r>
          </w:p>
        </w:tc>
      </w:tr>
    </w:tbl>
    <w:p/>
    <w:tbl>
      <w:tblPr>
        <w:tblStyle w:val="TableGrid"/>
        <w:tblW w:type="auto" w:w="0"/>
        <w:jc w:val="center"/>
        <w:tblLayout w:type="fixed"/>
        <w:tblLook w:firstColumn="1" w:firstRow="1" w:lastColumn="0" w:lastRow="0" w:noHBand="0" w:noVBand="1" w:val="04A0"/>
      </w:tblPr>
      <w:tblGrid>
        <w:gridCol w:w="4762"/>
        <w:gridCol w:w="4762"/>
      </w:tblGrid>
      <w:tr>
        <w:trPr>
          <w:cantSplit/>
          <w:tblHeader/>
        </w:trPr>
        <w:tc>
          <w:tcPr>
            <w:tcW w:type="dxa" w:w="4762"/>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Loại tài liệu</w:t>
            </w:r>
          </w:p>
        </w:tc>
        <w:tc>
          <w:tcPr>
            <w:tcW w:type="dxa" w:w="4762"/>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Bản proposal tích hợp, đồng bộ hoàn toàn với bản kỹ thuật V5.5</w:t>
            </w:r>
          </w:p>
        </w:tc>
      </w:tr>
      <w:tr>
        <w:trPr>
          <w:cantSplit/>
        </w:trPr>
        <w:tc>
          <w:tcPr>
            <w:tcW w:type="dxa" w:w="4762"/>
            <w:tcMar>
              <w:top w:w="80" w:type="dxa"/>
              <w:start w:w="120" w:type="dxa"/>
              <w:bottom w:w="80" w:type="dxa"/>
              <w:end w:w="120" w:type="dxa"/>
            </w:tcMar>
            <w:vAlign w:val="center"/>
            <w:shd w:fill="D9E6F2"/>
          </w:tcPr>
          <w:p>
            <w:pPr>
              <w:spacing w:after="40" w:before="0" w:line="252" w:lineRule="auto"/>
            </w:pPr>
            <w:r>
              <w:rPr>
                <w:rFonts w:ascii="Aptos" w:hAnsi="Aptos" w:eastAsia="Aptos"/>
                <w:sz w:val="18"/>
              </w:rPr>
              <w:t>Phiên bản</w:t>
            </w:r>
          </w:p>
        </w:tc>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8"/>
              </w:rPr>
              <w:t>V5.5 - phiên bản proposal chuẩn hóa sau vòng rà soát governance, comparator và observability</w:t>
            </w:r>
          </w:p>
        </w:tc>
      </w:tr>
      <w:tr>
        <w:trPr>
          <w:cantSplit/>
        </w:trPr>
        <w:tc>
          <w:tcPr>
            <w:tcW w:type="dxa" w:w="4762"/>
            <w:tcMar>
              <w:top w:w="80" w:type="dxa"/>
              <w:start w:w="120" w:type="dxa"/>
              <w:bottom w:w="80" w:type="dxa"/>
              <w:end w:w="120" w:type="dxa"/>
            </w:tcMar>
            <w:vAlign w:val="center"/>
            <w:shd w:fill="D9E6F2"/>
          </w:tcPr>
          <w:p>
            <w:pPr>
              <w:spacing w:after="40" w:before="0" w:line="252" w:lineRule="auto"/>
            </w:pPr>
            <w:r>
              <w:rPr>
                <w:rFonts w:ascii="Aptos" w:hAnsi="Aptos" w:eastAsia="Aptos"/>
                <w:sz w:val="18"/>
              </w:rPr>
              <w:t>Mục tiêu chính</w:t>
            </w:r>
          </w:p>
        </w:tc>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8"/>
              </w:rPr>
              <w:t>Nested LOSO giải mã memory load (4 vs 8) trong maintenance, kèm observability atlas, calibration package và subject-wise gains</w:t>
            </w:r>
          </w:p>
        </w:tc>
      </w:tr>
      <w:tr>
        <w:trPr>
          <w:cantSplit/>
        </w:trPr>
        <w:tc>
          <w:tcPr>
            <w:tcW w:type="dxa" w:w="4762"/>
            <w:tcMar>
              <w:top w:w="80" w:type="dxa"/>
              <w:start w:w="120" w:type="dxa"/>
              <w:bottom w:w="80" w:type="dxa"/>
              <w:end w:w="120" w:type="dxa"/>
            </w:tcMar>
            <w:vAlign w:val="center"/>
            <w:shd w:fill="D9E6F2"/>
          </w:tcPr>
          <w:p>
            <w:pPr>
              <w:spacing w:after="40" w:before="0" w:line="252" w:lineRule="auto"/>
            </w:pPr>
            <w:r>
              <w:rPr>
                <w:rFonts w:ascii="Aptos" w:hAnsi="Aptos" w:eastAsia="Aptos"/>
                <w:sz w:val="18"/>
              </w:rPr>
              <w:t>Ràng buộc suy luận</w:t>
            </w:r>
          </w:p>
        </w:tc>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8"/>
              </w:rPr>
              <w:t>Chỉ scalp EEG ở test time; iEEG, source/bridge và mọi tham số hiệu chỉnh chỉ dùng ở train time</w:t>
            </w:r>
          </w:p>
        </w:tc>
      </w:tr>
      <w:tr>
        <w:trPr>
          <w:cantSplit/>
        </w:trPr>
        <w:tc>
          <w:tcPr>
            <w:tcW w:type="dxa" w:w="4762"/>
            <w:tcMar>
              <w:top w:w="80" w:type="dxa"/>
              <w:start w:w="120" w:type="dxa"/>
              <w:bottom w:w="80" w:type="dxa"/>
              <w:end w:w="120" w:type="dxa"/>
            </w:tcMar>
            <w:vAlign w:val="center"/>
            <w:shd w:fill="D9E6F2"/>
          </w:tcPr>
          <w:p>
            <w:pPr>
              <w:spacing w:after="40" w:before="0" w:line="252" w:lineRule="auto"/>
            </w:pPr>
            <w:r>
              <w:rPr>
                <w:rFonts w:ascii="Aptos" w:hAnsi="Aptos" w:eastAsia="Aptos"/>
                <w:sz w:val="18"/>
              </w:rPr>
              <w:t>Nguồn đồng bộ</w:t>
            </w:r>
          </w:p>
        </w:tc>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8"/>
              </w:rPr>
              <w:t>V5.4 integrated proposal, V5.5 technical specification đã chuẩn hóa, và các quyết định sửa đổi đã chốt trong chuỗi thảo luận</w:t>
            </w:r>
          </w:p>
        </w:tc>
      </w:tr>
    </w:tbl>
    <w:p/>
    <w:p>
      <w:pPr>
        <w:pStyle w:val="SmallCapsCustom"/>
        <w:jc w:val="center"/>
      </w:pPr>
      <w:r>
        <w:t>Prepared in Vietnamese | April 2026</w:t>
      </w:r>
    </w:p>
    <w:p>
      <w:r>
        <w:br w:type="page"/>
      </w:r>
    </w:p>
    <w:p>
      <w:pPr>
        <w:pStyle w:val="H1Custom"/>
      </w:pPr>
      <w:r>
        <w:t>Tóm tắt điều hành</w:t>
      </w:r>
    </w:p>
    <w:p>
      <w:pPr/>
      <w:r>
        <w:rPr>
          <w:i w:val="0"/>
        </w:rPr>
        <w:t>V5.5 proposal giữ nguyên khoa học lõi của V5.4: đây là một khung privileged learning dưới bất đối xứng quan sát, trong đó iEEG chỉ là thông tin đặc quyền ở train time, còn mô hình triển khai ở test time bắt buộc chỉ dùng scalp EEG.</w:t>
      </w:r>
    </w:p>
    <w:p>
      <w:pPr/>
      <w:r>
        <w:rPr>
          <w:i w:val="0"/>
        </w:rPr>
        <w:t>Điểm khác của V5.5 là khóa lại toàn bộ phần governance còn thiếu để proposal khớp thật với technical specification: cohort lock bằng manifest audit, decision simulation với SESOI, influence ceiling rule cho small-N, task-contrast observability, teacher-pool viability states, comparator A2d kiểu Riemannian, Phase 0.5 observability-only run, deterministic bridge sentinel và Gate 2.5 cho preregistration.</w:t>
      </w:r>
    </w:p>
    <w:p>
      <w:pPr/>
      <w:r>
        <w:rPr>
          <w:i w:val="0"/>
        </w:rPr>
        <w:t>Mục tiêu của V5.5 không phải làm đề tài ít tham vọng hơn, mà làm nó đúng thứ tự hơn: khóa dữ liệu thật trước, khóa ngưỡng diễn giải trước, chứng minh pipeline đúng lý do trên dữ liệu synthetic trước, rồi mới chạy nested LOSO trên dữ liệu thật.</w:t>
      </w:r>
    </w:p>
    <w:p>
      <w:pPr/>
      <w:r>
        <w:rPr>
          <w:i w:val="0"/>
        </w:rPr>
        <w:t>Nếu privileged transfer không vượt robustly các scalp-only comparators mạnh, V5.5 buộc công trình pivot sang observability-atlas / transfer-frontier paper thay vì over-claim benchmark gain. Như vậy proposal và technical specification cùng chia sẻ một logic diễn giải duy nhất.</w:t>
      </w:r>
    </w:p>
    <w:tbl>
      <w:tblPr>
        <w:tblW w:type="auto" w:w="0"/>
        <w:jc w:val="center"/>
        <w:tblLayout w:type="fixed"/>
        <w:tblLook w:firstColumn="1" w:firstRow="1" w:lastColumn="0" w:lastRow="0" w:noHBand="0" w:noVBand="1" w:val="04A0"/>
      </w:tblPr>
      <w:tblGrid>
        <w:gridCol w:w="9525"/>
      </w:tblGrid>
      <w:tr>
        <w:trPr>
          <w:cantSplit/>
          <w:tblHeader/>
        </w:trPr>
        <w:tc>
          <w:tcPr>
            <w:tcW w:type="dxa" w:w="9525"/>
            <w:shd w:fill="EAF6F7"/>
            <w:tcMar>
              <w:top w:w="110" w:type="dxa"/>
              <w:start w:w="150" w:type="dxa"/>
              <w:bottom w:w="110" w:type="dxa"/>
              <w:end w:w="150" w:type="dxa"/>
            </w:tcMar>
          </w:tcPr>
          <w:p>
            <w:pPr>
              <w:spacing w:after="80"/>
            </w:pPr>
            <w:r>
              <w:rPr>
                <w:b/>
                <w:color w:val="1B365D"/>
                <w:sz w:val="21"/>
              </w:rPr>
              <w:t>Vị thế của proposal V5.5</w:t>
            </w:r>
          </w:p>
          <w:p>
            <w:pPr>
              <w:spacing w:after="0"/>
            </w:pPr>
            <w:r>
              <w:rPr>
                <w:sz w:val="20"/>
              </w:rPr>
              <w:t>Bản proposal này không chỉ mô tả ý tưởng. Nó là bản diễn giải khoa học cấp nghiên cứu, khớp một-một với bản kỹ thuật V5.5 ở những nội dung có tính ràng buộc: endpoint, comparator stack, gate logic, observability controls, bridge governance, calibration, decision states và publication pivot rules.</w:t>
            </w:r>
          </w:p>
        </w:tc>
      </w:tr>
    </w:tbl>
    <w:p/>
    <w:p>
      <w:pPr>
        <w:pStyle w:val="H1Custom"/>
      </w:pPr>
      <w:r>
        <w:t>Ma trận thay đổi tích hợp từ V5.4 sang V5.5</w:t>
      </w:r>
    </w:p>
    <w:tbl>
      <w:tblPr>
        <w:tblStyle w:val="TableGrid"/>
        <w:tblW w:type="auto" w:w="0"/>
        <w:jc w:val="center"/>
        <w:tblLayout w:type="fixed"/>
        <w:tblLook w:firstColumn="1" w:firstRow="1" w:lastColumn="0" w:lastRow="0" w:noHBand="0" w:noVBand="1" w:val="04A0"/>
      </w:tblPr>
      <w:tblGrid>
        <w:gridCol w:w="3175"/>
        <w:gridCol w:w="3175"/>
        <w:gridCol w:w="3175"/>
      </w:tblGrid>
      <w:tr>
        <w:trPr>
          <w:cantSplit/>
          <w:tblHeader/>
        </w:trPr>
        <w:tc>
          <w:tcPr>
            <w:tcW w:type="dxa" w:w="3175"/>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9"/>
              </w:rPr>
              <w:t>Cập nhật</w:t>
            </w:r>
          </w:p>
        </w:tc>
        <w:tc>
          <w:tcPr>
            <w:tcW w:type="dxa" w:w="3175"/>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9"/>
              </w:rPr>
              <w:t>Trạng thái trong proposal V5.5</w:t>
            </w:r>
          </w:p>
        </w:tc>
        <w:tc>
          <w:tcPr>
            <w:tcW w:type="dxa" w:w="3175"/>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9"/>
              </w:rPr>
              <w:t>Ý nghĩa</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Cohort lock bằng manifest audit</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Mainline bắt buộc</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Khóa N_eff thật và chặn mọi suy đoán 9-vs-15 subjects trước khi thiết kế split hoặc simulation.</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Decision simulation + SESOI + influence governance</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Mainline bắt buộc</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Biến small-N từ cảnh báo chung thành điều kiện diễn giải định lượng, có veto cho claim mạnh khi một fold chi phối quá mức.</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A2d Riemannian comparator</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Mainline bắt buộc</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Siết comparator stack để privileged value phải vượt cả CORAL lẫn một baseline scalp-only mạnh hơn dựa trên covariance geometry.</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Task-contrast observability + anti-nuisance controls</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Mainline bắt buộc</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Chỉ công nhận teacher observable khi vượt predictability nền, spatial control, nuisance-only control và ICA robustness.</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Teacher-pool viability floor tau_viable</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Mainline bắt buộc</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Ngăn renormalization cứu một fold có pool teacher quá yếu về mặt khoa học.</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Phase 0.5 observability-only</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Mainline bắt buộc</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Tạo checkpoint publishable độc lập trước full privileged decoding.</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Gate 2 synthetic recovery + Gate 2.5 prereg bundle</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Mainline bắt buộc</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Chứng minh pipeline đúng lý do và khóa đường phân tích trước substantive runs.</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Deterministic bridge sentinel rollout</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Mainline bắt buộc</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Giảm effort lãng phí ở bridge module và ngăn chọn sentinel theo kết quả quan sát được.</w:t>
            </w:r>
          </w:p>
        </w:tc>
      </w:tr>
    </w:tbl>
    <w:p/>
    <w:p>
      <w:pPr>
        <w:pStyle w:val="H1Custom"/>
      </w:pPr>
      <w:r>
        <w:t>1. Abstract</w:t>
      </w:r>
    </w:p>
    <w:p>
      <w:pPr/>
      <w:r>
        <w:rPr>
          <w:i w:val="0"/>
        </w:rPr>
        <w:t>Simultaneous scalp EEG and intracranial EEG provide a rare human setting in which non-invasive electrophysiology can be compared directly with near-source neural dynamics on the same trials. V5.5 uses OpenNeuro ds004752, a simultaneous clinical dataset with scalp EEG, direct-contact iEEG and beamforming derivatives acquired during a modified Sternberg verbal working memory task, to ask which intracranial dynamics are transferable to scalp EEG under cross-subject generalization. Earlier release lineage described nine patients, whereas current OpenNeuro metadata display fifteen participants and eight sessions; therefore V5.5 preserves and strengthens the manifest-audit rule rather than assuming a fixed cohort size.</w:t>
      </w:r>
    </w:p>
    <w:p>
      <w:pPr/>
      <w:r>
        <w:rPr>
          <w:i w:val="0"/>
        </w:rPr>
        <w:t>Khung nghiên cứu vẫn là non-blind privileged learning: iEEG được xem là privileged information chỉ có ở train time; student tại test time chỉ nhận scalp EEG. Tuy nhiên, V5.5 siết định nghĩa “teacher hữu ích” mạnh hơn V5.4: teacher element chỉ được chuyển giao khi vượt đồng thời support, reliability, task-contrast observability, admissibility và comparator relevance.</w:t>
      </w:r>
    </w:p>
    <w:p>
      <w:pPr/>
      <w:r>
        <w:rPr>
          <w:i w:val="0"/>
        </w:rPr>
        <w:t>So với V5.4, V5.5 thêm năm lớp bảo vệ chính. Thứ nhất, proposal khóa cohort thật bằng manifest audit và decision simulation trước khi full run bắt đầu. Thứ hai, comparator stack được tăng lực bằng A2d Riemannian baseline bên cạnh A2b và A2c. Thứ ba, observability không còn dựa chỉ trên Q² dương và permutation, mà phải vượt baseline/task-contrast và bộ anti-nuisance controls. Thứ tư, transfer gate được tách thành gate khoa học và loss scaling số học, đồng thời thêm viability floor cho teacher pool. Thứ năm, toàn bộ pipeline được tách thành các gate và phase để nếu decoding gain không đủ mạnh thì dự án vẫn tạo ra một observability-atlas / transfer-frontier paper trung thực và publishable.</w:t>
      </w:r>
    </w:p>
    <w:p>
      <w:pPr/>
      <w:r>
        <w:rPr>
          <w:i w:val="0"/>
        </w:rPr>
        <w:t>Primary endpoint vẫn là nested leave-one-subject-out binary load decoding (4 vs 8 letters) trong maintenance period. Co-primary outputs là cross-subject decoding analysis, observability atlas, calibrated uncertainty package và subject-wise gain distribution. Nếu observability-constrained transfer không vượt blind distillation và các scalp-only comparators mạnh với calibration chấp nhận được, proposal V5.5 buộc dự án pivot sang mechanistic interpretation thay vì overstate benchmark gain.</w:t>
      </w:r>
    </w:p>
    <w:p>
      <w:pPr>
        <w:pStyle w:val="H1Custom"/>
      </w:pPr>
      <w:r>
        <w:t>2. Central claim and claim boundary</w:t>
      </w:r>
    </w:p>
    <w:p>
      <w:pPr/>
      <w:r>
        <w:rPr>
          <w:i w:val="0"/>
        </w:rPr>
        <w:t>Intracranial supervision không mặc định hữu ích cho scalp EEG. Nó chỉ trở thành scientific evidence hợp lệ khi phần teacher được chuyển giao là tập con intracranial dynamics vừa observable dưới hệ đo scalp, vừa ổn định qua fold, vừa admissible về mặt tín hiệu, lại còn cho lợi ích vượt quá các alternative scalp-only mạnh.</w:t>
      </w:r>
    </w:p>
    <w:p>
      <w:pPr/>
      <w:r>
        <w:rPr>
          <w:i w:val="0"/>
        </w:rPr>
        <w:t>V5.5 vì vậy không chấp nhận lập luận kiểu “accuracy cao hơn baseline yếu là đủ”. Proposal chỉ cho phép headline claim mạnh khi A4 vượt A3, A2b, A2c và A2d; calibration không xấu đi ngoài ngưỡng đã khóa; gain không bị chi phối bởi một outer fold duy nhất; và negative controls xác nhận privileged pathway không ăn nhầm leakage hoặc nuisance-shared structure.</w:t>
      </w:r>
    </w:p>
    <w:p>
      <w:pPr/>
      <w:r>
        <w:rPr>
          <w:i w:val="0"/>
        </w:rPr>
        <w:t>Khung này giữ semantics conjunctive của V5.4 nhưng tăng claim discipline. Nó bảo vệ nghiên cứu khỏi hai kiểu over-claim phổ biến: quy mọi improvement cho privileged iEEG khi baseline scalp-only còn yếu, hoặc gán ý nghĩa neural cho predictability vốn chỉ phản ánh nuisance chung giữa scalp và iEEG.</w:t>
      </w:r>
    </w:p>
    <w:p>
      <w:pPr>
        <w:jc w:val="center"/>
      </w:pPr>
      <w:r>
        <w:rPr>
          <w:rFonts w:ascii="Consolas" w:hAnsi="Consolas" w:eastAsia="Consolas"/>
          <w:sz w:val="20"/>
        </w:rPr>
        <w:t>Teacher gate:  w_e = m_e * q_e * o_e * a_e</w:t>
      </w:r>
    </w:p>
    <w:p>
      <w:pPr/>
      <w:r>
        <w:rPr>
          <w:b/>
        </w:rPr>
        <w:t xml:space="preserve">Trong proposal V5.5, </w:t>
      </w:r>
      <w:r>
        <w:t>công thức trên giữ nguyên vai trò gate khoa học. Những điều chỉnh về renormalization chỉ phục vụ tối ưu hóa loss và tuyệt đối không thay semantics của gate.</w:t>
      </w:r>
    </w:p>
    <w:p>
      <w:pPr>
        <w:pStyle w:val="H1Custom"/>
      </w:pPr>
      <w:r>
        <w:t>3. Specific aims</w:t>
      </w:r>
    </w:p>
    <w:p>
      <w:pPr>
        <w:pStyle w:val="ListBullet"/>
      </w:pPr>
      <w:r>
        <w:t>Aim 1 - Xây dựng một teacher space intracranial gọn, diễn giải được và phase-aware cho verbal working memory, tránh target shopping, teacher inflation và các reconstruction giàu tham số nhưng yếu khả năng bảo vệ claim.</w:t>
      </w:r>
    </w:p>
    <w:p>
      <w:pPr>
        <w:pStyle w:val="ListBullet"/>
      </w:pPr>
      <w:r>
        <w:t>Aim 2 - Ước lượng một visible latent subspace theo cách strictly fold-independent từ các đặc trưng scalp, teacher và bridge hợp lệ, với PCA stabilization và latent cap thấp đủ để phù hợp dữ liệu small-N.</w:t>
      </w:r>
    </w:p>
    <w:p>
      <w:pPr>
        <w:pStyle w:val="ListBullet"/>
      </w:pPr>
      <w:r>
        <w:t>Aim 3 - Định lượng teacher usefulness bằng một transfer gate rõ ràng gồm support, reliability, task-contrast observability và admissibility, đồng thời thêm viability rule ở mức fold để loại tình huống teacher pool quá yếu nhưng vẫn được renormalization cứu.</w:t>
      </w:r>
    </w:p>
    <w:p>
      <w:pPr>
        <w:pStyle w:val="ListBullet"/>
      </w:pPr>
      <w:r>
        <w:t>Aim 4 - Kiểm tra giá trị của privileged transfer trong một comparator-aware framework gồm blind distillation, pooled scalp-only learning, CORAL-based domain generalization và Riemannian covariance baseline.</w:t>
      </w:r>
    </w:p>
    <w:p>
      <w:pPr>
        <w:pStyle w:val="ListBullet"/>
      </w:pPr>
      <w:r>
        <w:t>Aim 5 - Giảm mismatch liên-chủ thể bằng subject-aware normalization và spatially normalized scalp preprocessing, trong khi vẫn xem ICA-cleaned branch như stress test cho observability chứ không phải clean truth.</w:t>
      </w:r>
    </w:p>
    <w:p>
      <w:pPr>
        <w:pStyle w:val="ListBullet"/>
      </w:pPr>
      <w:r>
        <w:t>Aim 6 - Khóa leakage-control protocol, decision simulation, synthetic recovery validation và prereg bundle trước substantive runs.</w:t>
      </w:r>
    </w:p>
    <w:p>
      <w:pPr>
        <w:pStyle w:val="ListBullet"/>
      </w:pPr>
      <w:r>
        <w:t>Aim 7 - Giữ calibrated prediction trong mainline bằng softmax + temperature scaling, báo cáo reliability ở mức pooled và subject-wise.</w:t>
      </w:r>
    </w:p>
    <w:p>
      <w:pPr>
        <w:pStyle w:val="ListBullet"/>
      </w:pPr>
      <w:r>
        <w:t>Aim 8 - Đánh giá bridge dưới mô hình weak, QC-gated và sentinel-first; chấp nhận null bridge effect như một outcome khoa học hợp lệ.</w:t>
      </w:r>
    </w:p>
    <w:p>
      <w:pPr>
        <w:pStyle w:val="ListBullet"/>
      </w:pPr>
      <w:r>
        <w:t>Aim 9 - Tạo observability atlas và claim-state framework đủ chặt để nếu decoding gain yếu, dự án vẫn có một output cơ chế học thuật trung thực và có giá trị.</w:t>
      </w:r>
    </w:p>
    <w:p>
      <w:pPr>
        <w:pStyle w:val="H1Custom"/>
      </w:pPr>
      <w:r>
        <w:t>4. Research questions and hypotheses</w:t>
      </w:r>
    </w:p>
    <w:tbl>
      <w:tblPr>
        <w:tblStyle w:val="TableGrid"/>
        <w:tblW w:type="auto" w:w="0"/>
        <w:jc w:val="center"/>
        <w:tblLayout w:type="fixed"/>
        <w:tblLook w:firstColumn="1" w:firstRow="1" w:lastColumn="0" w:lastRow="0" w:noHBand="0" w:noVBand="1" w:val="04A0"/>
      </w:tblPr>
      <w:tblGrid>
        <w:gridCol w:w="3175"/>
        <w:gridCol w:w="3175"/>
        <w:gridCol w:w="3175"/>
      </w:tblGrid>
      <w:tr>
        <w:trPr>
          <w:cantSplit/>
          <w:tblHeader/>
        </w:trPr>
        <w:tc>
          <w:tcPr>
            <w:tcW w:type="dxa" w:w="3175"/>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Câu hỏi</w:t>
            </w:r>
          </w:p>
        </w:tc>
        <w:tc>
          <w:tcPr>
            <w:tcW w:type="dxa" w:w="3175"/>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Giả thuyết V5.5</w:t>
            </w:r>
          </w:p>
        </w:tc>
        <w:tc>
          <w:tcPr>
            <w:tcW w:type="dxa" w:w="3175"/>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Điều kiện bác bỏ / thu hẹp</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Teacher nào thực sự chuyển giao được từ iEEG sang scalp EEG?</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Chỉ một tập con teacher element có support, stability và task-contrast observability đủ mạnh sẽ sống sót qua gate.</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Nếu teacher survival quá thưa hoặc chỉ sống ở nuisance-sensitive conditions, project phải chuyển trọng tâm sang transfer frontier thay vì positive transfer claim.</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Privileged transfer có hơn scalp-only alternatives không?</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A4 có thể vượt A3, A2b, A2c và A2d ở một tập subject hợp lệ với calibration chấp nhận được.</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Nếu A4 chỉ hơn A3 nhưng xấp xỉ A2c/A2d, claim thu hẹp thành mechanism/regularization.</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Observability có phải chỉ là predictability do artifact chung?</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Task-contrast observability và anti-nuisance controls sẽ loại phần lớn nuisance-driven pathways.</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Nếu Q_real không vượt control suite một cách bền, teacher bị xem là non-transferable cho mainline.</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Bridge có thực sự hữu ích không?</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Một bridge sentinel có thể mang tín hiệu yếu nhưng hữu ích sau QC và negative controls.</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Null bridge effect là outcome hợp lệ; không được ép bridge thành claim trung tâm.</w:t>
            </w:r>
          </w:p>
        </w:tc>
      </w:tr>
    </w:tbl>
    <w:p/>
    <w:p>
      <w:pPr>
        <w:pStyle w:val="H1Custom"/>
      </w:pPr>
      <w:r>
        <w:t>5. Scientific rationale and signal-grounded assumptions</w:t>
      </w:r>
    </w:p>
    <w:p>
      <w:pPr/>
      <w:r>
        <w:rPr>
          <w:i w:val="0"/>
        </w:rPr>
        <w:t>Bài toán được đặt trên modified Sternberg verbal working memory task, nơi encoding và maintenance được tách pha rõ. Điều này làm maintenance-centered decoding trở thành lựa chọn chính hợp lý và cho phép proposal gắn teacher design vào các giả thuyết theta/alpha/phasic dynamics đã có từ literature cùng lineage dữ liệu.</w:t>
      </w:r>
    </w:p>
    <w:p>
      <w:pPr/>
      <w:r>
        <w:rPr>
          <w:i w:val="0"/>
        </w:rPr>
        <w:t>Trong V5.5, phần lý luận tín hiệu vẫn giữ tinh thần V5.4: teacher space phải ưu tiên low-dimensional summaries, ROI-band structure và latent dimensions đủ ổn định để bảo vệ claim. Proposal chủ động tránh chuyển sang các reconstruction tham số hóa cao, deep high-gamma reconstruction hoặc foundation-model transfer như mainline, vì các hướng đó có thể hấp dẫn kỹ thuật nhưng làm suy yếu khả năng diễn giải và kiểm soát leakage.</w:t>
      </w:r>
    </w:p>
    <w:p>
      <w:pPr/>
      <w:r>
        <w:rPr>
          <w:i w:val="0"/>
        </w:rPr>
        <w:t>Recent work outside ds004752 tiếp tục ủng hộ tiền đề rằng scalp EEG có thể dự đoán một phần activity nội sọ nhưng theo cách bị ràng buộc bởi region, depth, frequency và measurement geometry. V5.5 tiếp nhận thông tin này không phải để biện minh cho full reconstruction, mà để củng cố lập trường “constrained observability rather than unrestricted transfer”.</w:t>
      </w:r>
    </w:p>
    <w:tbl>
      <w:tblPr>
        <w:tblW w:type="auto" w:w="0"/>
        <w:jc w:val="center"/>
        <w:tblLayout w:type="fixed"/>
        <w:tblLook w:firstColumn="1" w:firstRow="1" w:lastColumn="0" w:lastRow="0" w:noHBand="0" w:noVBand="1" w:val="04A0"/>
      </w:tblPr>
      <w:tblGrid>
        <w:gridCol w:w="9525"/>
      </w:tblGrid>
      <w:tr>
        <w:trPr>
          <w:cantSplit/>
          <w:tblHeader/>
        </w:trPr>
        <w:tc>
          <w:tcPr>
            <w:tcW w:type="dxa" w:w="9525"/>
            <w:shd w:fill="FFF4D6"/>
            <w:tcMar>
              <w:top w:w="110" w:type="dxa"/>
              <w:start w:w="150" w:type="dxa"/>
              <w:bottom w:w="110" w:type="dxa"/>
              <w:end w:w="150" w:type="dxa"/>
            </w:tcMar>
          </w:tcPr>
          <w:p>
            <w:pPr>
              <w:spacing w:after="80"/>
            </w:pPr>
            <w:r>
              <w:rPr>
                <w:b/>
                <w:color w:val="1B365D"/>
                <w:sz w:val="21"/>
              </w:rPr>
              <w:t>Giải thích triết lý V5.5</w:t>
            </w:r>
          </w:p>
          <w:p>
            <w:pPr>
              <w:spacing w:after="0"/>
            </w:pPr>
            <w:r>
              <w:rPr>
                <w:sz w:val="20"/>
              </w:rPr>
              <w:t>Proposal này không tìm cách chứng minh rằng scalp có thể tái tạo iEEG. Nó kiểm tra giả thuyết hẹp hơn và có thể bảo vệ tốt hơn: chỉ một tập con intracranial dynamics vừa observable vừa comparator-relevant mới đáng được dùng như privileged supervision cho scalp decoding.</w:t>
            </w:r>
          </w:p>
        </w:tc>
      </w:tr>
    </w:tbl>
    <w:p/>
    <w:p>
      <w:pPr>
        <w:pStyle w:val="H1Custom"/>
      </w:pPr>
      <w:r>
        <w:t>6. Dataset, cohort governance and endpoint</w:t>
      </w:r>
    </w:p>
    <w:p>
      <w:pPr/>
      <w:r>
        <w:rPr>
          <w:i w:val="0"/>
        </w:rPr>
        <w:t>V5.5 dùng OpenNeuro ds004752: simultaneous scalp EEG, direct-contact iEEG và beamforming derivatives trong verbal working memory task. Tuy nhiên, proposal không xem metadata công khai là đủ để chốt cohort. Manifest audit vẫn là bước đầu tiên và là deliverable độc lập.</w:t>
      </w:r>
    </w:p>
    <w:p>
      <w:pPr/>
      <w:r>
        <w:rPr>
          <w:i w:val="0"/>
        </w:rPr>
        <w:t>Cohort governance của V5.5 nhằm giải quyết thẳng mâu thuẫn giữa lineage paper gốc mô tả 9 bệnh nhân và metadata hiện hành hiển thị 15 participants cùng 8 sessions. N_eff thật, subject list hợp lệ và bridge availability phải được khóa trước khi split protocol, simulation hoặc threshold registry được cố định.</w:t>
      </w:r>
    </w:p>
    <w:p>
      <w:pPr/>
      <w:r>
        <w:rPr>
          <w:i w:val="0"/>
        </w:rPr>
        <w:t>Primary endpoint là binary decoding 4 vs 8 trong maintenance period dưới nested LOSO by subject. Subject bị loại khỏi primary endpoint nếu sau QC một trong hai class còn dưới 5 usable trials. Không được vá scarcity ở outer-test bằng oversampling, synthesis hay pseudo-balancing ad hoc.</w:t>
      </w:r>
    </w:p>
    <w:p>
      <w:pPr/>
      <w:r>
        <w:rPr>
          <w:i w:val="0"/>
        </w:rPr>
        <w:t>Co-primary outputs gồm observability atlas, calibration package, subject-wise gain distribution và negative-control package. Điều này làm proposal không phụ thuộc hoàn toàn vào benchmark gain để giữ giá trị công bố.</w:t>
      </w:r>
    </w:p>
    <w:tbl>
      <w:tblPr>
        <w:tblStyle w:val="TableGrid"/>
        <w:tblW w:type="auto" w:w="0"/>
        <w:jc w:val="center"/>
        <w:tblLayout w:type="fixed"/>
        <w:tblLook w:firstColumn="1" w:firstRow="1" w:lastColumn="0" w:lastRow="0" w:noHBand="0" w:noVBand="1" w:val="04A0"/>
      </w:tblPr>
      <w:tblGrid>
        <w:gridCol w:w="4762"/>
        <w:gridCol w:w="4762"/>
      </w:tblGrid>
      <w:tr>
        <w:trPr>
          <w:cantSplit/>
          <w:tblHeader/>
        </w:trPr>
        <w:tc>
          <w:tcPr>
            <w:tcW w:type="dxa" w:w="4762"/>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9"/>
              </w:rPr>
              <w:t>Thành phần manifest bắt buộc</w:t>
            </w:r>
          </w:p>
        </w:tc>
        <w:tc>
          <w:tcPr>
            <w:tcW w:type="dxa" w:w="4762"/>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9"/>
              </w:rPr>
              <w:t>Nội dung</w:t>
            </w:r>
          </w:p>
        </w:tc>
      </w:tr>
      <w:tr>
        <w:trPr>
          <w:cantSplit/>
        </w:trPr>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9"/>
              </w:rPr>
              <w:t>Nhận diện dataset</w:t>
            </w:r>
          </w:p>
        </w:tc>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9"/>
              </w:rPr>
              <w:t>dataset_id, release/version, local snapshot path, manifest timestamp</w:t>
            </w:r>
          </w:p>
        </w:tc>
      </w:tr>
      <w:tr>
        <w:trPr>
          <w:cantSplit/>
        </w:trPr>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9"/>
              </w:rPr>
              <w:t>Toàn vẹn tệp</w:t>
            </w:r>
          </w:p>
        </w:tc>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9"/>
              </w:rPr>
              <w:t>SHA256 hoặc MD5 cho mọi file raw/derivative được dùng</w:t>
            </w:r>
          </w:p>
        </w:tc>
      </w:tr>
      <w:tr>
        <w:trPr>
          <w:cantSplit/>
        </w:trPr>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9"/>
              </w:rPr>
              <w:t>Phạm vi subject/session</w:t>
            </w:r>
          </w:p>
        </w:tc>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9"/>
              </w:rPr>
              <w:t>subject_id, session_id, modality availability, sampling rate, events/channels status</w:t>
            </w:r>
          </w:p>
        </w:tc>
      </w:tr>
      <w:tr>
        <w:trPr>
          <w:cantSplit/>
        </w:trPr>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9"/>
              </w:rPr>
              <w:t>Thống kê trial</w:t>
            </w:r>
          </w:p>
        </w:tc>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9"/>
              </w:rPr>
              <w:t>n_trials_total, n_trials_4, n_trials_8 trước và sau QC</w:t>
            </w:r>
          </w:p>
        </w:tc>
      </w:tr>
      <w:tr>
        <w:trPr>
          <w:cantSplit/>
        </w:trPr>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9"/>
              </w:rPr>
              <w:t>Marker diagnostics</w:t>
            </w:r>
          </w:p>
        </w:tc>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9"/>
              </w:rPr>
              <w:t>trigger availability, scalp-iEEG alignment offset, jitter diagnostics, drift flags</w:t>
            </w:r>
          </w:p>
        </w:tc>
      </w:tr>
      <w:tr>
        <w:trPr>
          <w:cantSplit/>
        </w:trPr>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9"/>
              </w:rPr>
              <w:t>Bridge availability</w:t>
            </w:r>
          </w:p>
        </w:tc>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9"/>
              </w:rPr>
              <w:t>source derivative presence, QC-ready yes/no, reason if not</w:t>
            </w:r>
          </w:p>
        </w:tc>
      </w:tr>
      <w:tr>
        <w:trPr>
          <w:cantSplit/>
        </w:trPr>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9"/>
              </w:rPr>
              <w:t>Cohort lock</w:t>
            </w:r>
          </w:p>
        </w:tc>
        <w:tc>
          <w:tcPr>
            <w:tcW w:type="dxa" w:w="4762"/>
            <w:tcMar>
              <w:top w:w="80" w:type="dxa"/>
              <w:start w:w="120" w:type="dxa"/>
              <w:bottom w:w="80" w:type="dxa"/>
              <w:end w:w="120" w:type="dxa"/>
            </w:tcMar>
            <w:vAlign w:val="center"/>
          </w:tcPr>
          <w:p>
            <w:pPr>
              <w:spacing w:after="40" w:before="0" w:line="252" w:lineRule="auto"/>
            </w:pPr>
            <w:r>
              <w:rPr>
                <w:rFonts w:ascii="Aptos" w:hAnsi="Aptos" w:eastAsia="Aptos"/>
                <w:sz w:val="19"/>
              </w:rPr>
              <w:t>N_raw, N_primary_eligible, N_exploratory_only, locked subject list</w:t>
            </w:r>
          </w:p>
        </w:tc>
      </w:tr>
    </w:tbl>
    <w:p/>
    <w:p>
      <w:pPr>
        <w:pStyle w:val="H1Custom"/>
      </w:pPr>
      <w:r>
        <w:t>7. Governance before full experiment: Gate 0 -&gt; Gate 2.5</w:t>
      </w:r>
    </w:p>
    <w:p>
      <w:pPr/>
      <w:r>
        <w:rPr>
          <w:i w:val="0"/>
        </w:rPr>
        <w:t>V5.5 proposal gắn trực tiếp với technical specification bằng một chuỗi gate tiền thực nghiệm. Đây là khác biệt thực chất giữa V5.5 và các proposal theo kiểu “mô tả phương pháp rồi để code quyết định phần còn lại”.</w:t>
      </w:r>
    </w:p>
    <w:p>
      <w:pPr/>
      <w:r>
        <w:rPr>
          <w:i w:val="0"/>
        </w:rPr>
        <w:t>Gate 0 là dataset freeze + manifest audit. Gate 1 là decision simulation + SESOI memo. Gate 2 là synthetic recovery study. Gate 2.5 là preregistration bundle. Không có đủ các artifact ở bốn gate này thì substantive Phase 1/2/3 runs không được phép chạy.</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cantSplit/>
          <w:tblHeader/>
        </w:trPr>
        <w:tc>
          <w:tcPr>
            <w:tcW w:type="dxa" w:w="2381"/>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Gate</w:t>
            </w:r>
          </w:p>
        </w:tc>
        <w:tc>
          <w:tcPr>
            <w:tcW w:type="dxa" w:w="2381"/>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Mục tiêu</w:t>
            </w:r>
          </w:p>
        </w:tc>
        <w:tc>
          <w:tcPr>
            <w:tcW w:type="dxa" w:w="2381"/>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Deliverable bắt buộc</w:t>
            </w:r>
          </w:p>
        </w:tc>
        <w:tc>
          <w:tcPr>
            <w:tcW w:type="dxa" w:w="2381"/>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Điều kiện qua gate</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Gate 0</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Khóa cohort và dữ liệu thật</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Locked manifest + cohort appendix</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N_eff và subject list primary-eligible đã chốt</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Gate 1</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Khóa ngưỡng diễn giải small-N</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Decision memo với SESOI và comparator thresholds</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Có rule rõ cho claim mạnh, claim hẹp và pivot</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Gate 2</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Chứng minh pipeline đúng lý do</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Synthetic recovery report + shuffled controls</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Pipeline recover observable subset và sập trên negative controls</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Gate 2.5</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Khóa đường phân tích trước substantive runs</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config/prereg.json hoặc bundle tương đương</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Phase 1/2/3 mainline bị chặn nếu prereg bundle thiếu</w:t>
            </w:r>
          </w:p>
        </w:tc>
      </w:tr>
    </w:tbl>
    <w:p/>
    <w:p>
      <w:pPr>
        <w:pStyle w:val="H1Custom"/>
      </w:pPr>
      <w:r>
        <w:t>8. Decision simulation, SESOI and influence governance</w:t>
      </w:r>
    </w:p>
    <w:p>
      <w:pPr/>
      <w:r>
        <w:rPr>
          <w:i w:val="0"/>
        </w:rPr>
        <w:t>Small-N không phải chỉ là một limitation statement. Trong V5.5 nó là một object được quản trị chủ động. Decision simulation chạy ở mức subject-level để khóa effect-size-of-interest, teacher survival assumptions và comparator-aware decision criteria trước khi xem kết quả thật.</w:t>
      </w:r>
    </w:p>
    <w:p>
      <w:pPr/>
      <w:r>
        <w:rPr>
          <w:i w:val="0"/>
        </w:rPr>
        <w:t>Proposal yêu cầu simulation quét tối thiểu Delta BA giả định ở các mức 0.02, 0.05 và 0.08; teacher survival fractions ít nhất 20%, 40% và 60%; cùng ba mức outer-fold heterogeneity. SESOI được khóa trong decision memo, ví dụ median subject-level gain so với A2d &gt;= 0.03 kèm calibration deterioration không vượt Delta ECE +0.02.</w:t>
      </w:r>
    </w:p>
    <w:p>
      <w:pPr/>
      <w:r>
        <w:rPr>
          <w:i w:val="0"/>
        </w:rPr>
        <w:t>Nếu simulation cho thấy cohort hiện tại chỉ có thể phát hiện hiệu ứng rất lớn, proposal không hủy dự án. Nó hạ mặc định diễn giải sang mechanistic interpretation và ưu tiên observability-atlas output.</w:t>
      </w:r>
    </w:p>
    <w:p>
      <w:pPr>
        <w:pStyle w:val="H2Custom"/>
      </w:pPr>
      <w:r>
        <w:t>8.1 Influence ceiling rule</w:t>
      </w:r>
    </w:p>
    <w:p>
      <w:pPr/>
      <w:r>
        <w:rPr>
          <w:i w:val="0"/>
        </w:rPr>
        <w:t>V5.5 bổ sung influence concentration như một claim-governance heuristic. Mục tiêu không phải thay thế hypothesis testing, mà ngăn một outer fold đơn lẻ tạo ra một strong claim không tương xứng với data support.</w:t>
      </w:r>
    </w:p>
    <w:p>
      <w:pPr>
        <w:jc w:val="center"/>
      </w:pPr>
      <w:r>
        <w:rPr>
          <w:rFonts w:ascii="Consolas" w:hAnsi="Consolas" w:eastAsia="Consolas"/>
          <w:sz w:val="20"/>
        </w:rPr>
        <w:t>Influence_concentration = max_s |Delta_s| / sum_s |Delta_s|</w:t>
      </w:r>
    </w:p>
    <w:p>
      <w:pPr/>
      <w:r>
        <w:rPr>
          <w:i w:val="0"/>
        </w:rPr>
        <w:t>Nếu Influence_concentration &gt; 0.40, State A bị cấm ngay cả khi paired permutation p-value đạt. Trong trường hợp đó dự án chỉ có thể ở State B hoặc State C, tùy comparator pattern và calibration quality.</w:t>
      </w:r>
    </w:p>
    <w:p>
      <w:pPr>
        <w:pStyle w:val="H1Custom"/>
      </w:pPr>
      <w:r>
        <w:t>9. Target space</w:t>
      </w:r>
    </w:p>
    <w:p>
      <w:pPr/>
      <w:r>
        <w:rPr>
          <w:i w:val="0"/>
        </w:rPr>
        <w:t>Target space của V5.5 vẫn gọn, diễn giải được và phase-aware. Tuy nhiên proposal chuyển từ tư duy “bật toàn bộ ngay từ đầu” sang phase-gated execution. Phase 1 chỉ gồm Group A và Group B; Group C và Group D chỉ bật sau marker gate; Group E/bridge chỉ vào Phase 3.</w:t>
      </w:r>
    </w:p>
    <w:p>
      <w:pPr/>
      <w:r>
        <w:rPr>
          <w:i w:val="0"/>
        </w:rPr>
        <w:t>Triết lý của phần này là: càng small-N càng phải tránh đổ toàn bộ tham vọng khoa học vào một pipeline nguyên khối. Phase 1 phải đủ giá trị để trở thành một paper nghiêm túc ngay cả khi Phase 2 hoặc Phase 3 bị dừng.</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cantSplit/>
          <w:tblHeader/>
        </w:trPr>
        <w:tc>
          <w:tcPr>
            <w:tcW w:type="dxa" w:w="2381"/>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9"/>
              </w:rPr>
              <w:t>Nhóm</w:t>
            </w:r>
          </w:p>
        </w:tc>
        <w:tc>
          <w:tcPr>
            <w:tcW w:type="dxa" w:w="2381"/>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9"/>
              </w:rPr>
              <w:t>Nội dung</w:t>
            </w:r>
          </w:p>
        </w:tc>
        <w:tc>
          <w:tcPr>
            <w:tcW w:type="dxa" w:w="2381"/>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9"/>
              </w:rPr>
              <w:t>Trạng thái trong V5.5</w:t>
            </w:r>
          </w:p>
        </w:tc>
        <w:tc>
          <w:tcPr>
            <w:tcW w:type="dxa" w:w="2381"/>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9"/>
              </w:rPr>
              <w:t>Vai trò</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Group A</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ROI-band summaries (theta/alpha/beta, ratios hợp lý)</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Mainline Phase 1</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Teacher nền tảng, diễn giải được</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Group B</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Visible latent subspace sau PCA + RGCCA/RCCA/PLS fallback</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Mainline Phase 1</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Kênh privileged chính</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Group C</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Phase-transition summaries</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Phase 2 có điều kiện</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Chỉ bật khi marker audit đạt</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Group D</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Compact cross-frequency descriptors</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Phase 2 có điều kiện</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Tối đa 1-2 descriptors</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Group E</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Bridge representation targets</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Phase 3 sentinel-first</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9"/>
              </w:rPr>
              <w:t>Weak auxiliary regularization only</w:t>
            </w:r>
          </w:p>
        </w:tc>
      </w:tr>
    </w:tbl>
    <w:p/>
    <w:p>
      <w:pPr>
        <w:pStyle w:val="H1Custom"/>
      </w:pPr>
      <w:r>
        <w:t>10. Privileged transfer logic, viability states and teacher gate</w:t>
      </w:r>
    </w:p>
    <w:p>
      <w:pPr/>
      <w:r>
        <w:rPr>
          <w:i w:val="0"/>
        </w:rPr>
        <w:t>Proposal V5.5 giữ nguyên composite transfer gate của V5.4 vì phần này mang nội dung khoa học cốt lõi: teacher chỉ được dùng khi support, reliability, observability và admissibility đều chấp nhận được. Điều proposal thay đổi là governance quanh gate, không phải semantics của gate.</w:t>
      </w:r>
    </w:p>
    <w:p>
      <w:pPr>
        <w:jc w:val="center"/>
      </w:pPr>
      <w:r>
        <w:rPr>
          <w:rFonts w:ascii="Consolas" w:hAnsi="Consolas" w:eastAsia="Consolas"/>
          <w:sz w:val="20"/>
        </w:rPr>
        <w:t>w_e = m_e * q_e * o_e * a_e</w:t>
      </w:r>
    </w:p>
    <w:p>
      <w:pPr/>
      <w:r>
        <w:rPr>
          <w:i w:val="0"/>
        </w:rPr>
        <w:t>Hard veto vẫn tồn tại ở mức element: under-support, low reliability, non-observable, failed permissive test, hoặc inadmissible teacher phải bị loại thẳng. Sau bước này proposal cho phép renormalization hậu gating chỉ để tránh privileged loss bị triệt tiêu số học; tuyệt đối không dùng softmax để biến gate thành một phân phối tương đối.</w:t>
      </w:r>
    </w:p>
    <w:p>
      <w:pPr/>
      <w:r>
        <w:rPr>
          <w:i w:val="0"/>
        </w:rPr>
        <w:t>Điểm mới quan trọng là viability floor ở mức fold. Trước khi renormalize, proposal tính mean raw gate weight trên tập teacher còn sống. Nếu pool quá yếu, fold đó không được xem là bằng chứng mạnh cho privileged value, ngay cả khi privileged loss vẫn được tính.</w:t>
      </w:r>
    </w:p>
    <w:p>
      <w:pPr>
        <w:jc w:val="center"/>
      </w:pPr>
      <w:r>
        <w:rPr>
          <w:rFonts w:ascii="Consolas" w:hAnsi="Consolas" w:eastAsia="Consolas"/>
          <w:sz w:val="20"/>
        </w:rPr>
        <w:t>M_fold = mean_e(w_e) on surviving teacher elements</w:t>
      </w:r>
    </w:p>
    <w:p>
      <w:pPr/>
      <w:r>
        <w:rPr>
          <w:b/>
        </w:rPr>
        <w:t xml:space="preserve">Default viability floor: </w:t>
      </w:r>
      <w:r>
        <w:t>tau_viable = 0.20</w:t>
      </w:r>
    </w:p>
    <w:tbl>
      <w:tblPr>
        <w:tblStyle w:val="TableGrid"/>
        <w:tblW w:type="auto" w:w="0"/>
        <w:jc w:val="center"/>
        <w:tblLayout w:type="fixed"/>
        <w:tblLook w:firstColumn="1" w:firstRow="1" w:lastColumn="0" w:lastRow="0" w:noHBand="0" w:noVBand="1" w:val="04A0"/>
      </w:tblPr>
      <w:tblGrid>
        <w:gridCol w:w="3175"/>
        <w:gridCol w:w="3175"/>
        <w:gridCol w:w="3175"/>
      </w:tblGrid>
      <w:tr>
        <w:trPr>
          <w:cantSplit/>
          <w:tblHeader/>
        </w:trPr>
        <w:tc>
          <w:tcPr>
            <w:tcW w:type="dxa" w:w="3175"/>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Trạng thái fold</w:t>
            </w:r>
          </w:p>
        </w:tc>
        <w:tc>
          <w:tcPr>
            <w:tcW w:type="dxa" w:w="3175"/>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Điều kiện</w:t>
            </w:r>
          </w:p>
        </w:tc>
        <w:tc>
          <w:tcPr>
            <w:tcW w:type="dxa" w:w="3175"/>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Diễn giải / hành động</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No-teacher</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M_fold = 0 hoặc không còn teacher sống</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Privileged pathway tắt; fold không được fail silently và phải được log rõ ràng.</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Weak-pool</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0 &lt; M_fold &lt; tau_viable</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Privileged loss được down-weight bởi gamma_fold = M_fold / tau_viable; fold không được dùng như bằng chứng mạnh cho claim mạnh.</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Normal</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M_fold &gt;= tau_viable</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Fold đủ điều kiện để privileged pathway đóng góp đầy đủ trong diễn giải chính.</w:t>
            </w:r>
          </w:p>
        </w:tc>
      </w:tr>
    </w:tbl>
    <w:p/>
    <w:p>
      <w:pPr>
        <w:pStyle w:val="H1Custom"/>
      </w:pPr>
      <w:r>
        <w:t>11. Observability upgraded to task-contrast observability</w:t>
      </w:r>
    </w:p>
    <w:p>
      <w:pPr/>
      <w:r>
        <w:rPr>
          <w:i w:val="0"/>
        </w:rPr>
        <w:t>Đây là thay đổi khoa học sâu nhất của V5.5. Proposal không còn xem “Q² dương + permutation p-value” là đủ để gọi một teacher element là observable. Điều đó chỉ chứng minh predictability ở mức nào đó, chưa đủ chứng minh rằng predictability ấy gắn với task-relevant pathway thay vì baseline structure hoặc nuisance chung.</w:t>
      </w:r>
    </w:p>
    <w:p>
      <w:pPr/>
      <w:r>
        <w:rPr>
          <w:i w:val="0"/>
        </w:rPr>
        <w:t>Trong V5.5, observability có hai tầng. Tầng một là real predictability của teacher từ scalp trong task representation. Tầng hai là contrast với các control representations đã match preprocessing và dimensionality. Teacher chỉ được coi là task-observable khi Q² trong task representation vượt baseline/control representation theo một delta threshold đã khóa trước, đồng thời qua grouped permutations, spatial control, nuisance-only control và ICA robustness.</w:t>
      </w:r>
    </w:p>
    <w:p>
      <w:pPr>
        <w:jc w:val="center"/>
      </w:pPr>
      <w:r>
        <w:rPr>
          <w:rFonts w:ascii="Consolas" w:hAnsi="Consolas" w:eastAsia="Consolas"/>
          <w:sz w:val="20"/>
        </w:rPr>
        <w:t>DeltaQ2_e = Q2_task,e - Q2_base,e</w:t>
      </w:r>
    </w:p>
    <w:p>
      <w:pPr/>
      <w:r>
        <w:rPr>
          <w:i w:val="0"/>
        </w:rPr>
        <w:t>Teacher element chỉ được xem là task-observable khi đồng thời thỏa: Q2_task &gt; 0, p_perm &lt; 0.05, DeltaQ2_e &gt; delta_obs, pass_spatial, pass_nuisance, pass_ica_ratio.</w:t>
      </w:r>
    </w:p>
    <w:p>
      <w:pPr>
        <w:pStyle w:val="H2Custom"/>
      </w:pPr>
      <w:r>
        <w:t>11.1 Anti-nuisance control suite</w:t>
      </w:r>
    </w:p>
    <w:p>
      <w:pPr>
        <w:pStyle w:val="ListBullet"/>
      </w:pPr>
      <w:r>
        <w:t>Grouped permutations: chống leakage và học ngẫu nhiên; tối thiểu 200 permutations trong inner model selection.</w:t>
      </w:r>
    </w:p>
    <w:p>
      <w:pPr>
        <w:pStyle w:val="ListBullet"/>
      </w:pPr>
      <w:r>
        <w:t>Spatial permutation control: phá ánh xạ không gian giữa các kênh scalp một cách nhất quán; nếu Q_spatial vẫn gần Q_real thì teacher không đủ bằng chứng về scalp-topographic observability.</w:t>
      </w:r>
    </w:p>
    <w:p>
      <w:pPr>
        <w:pStyle w:val="ListBullet"/>
      </w:pPr>
      <w:r>
        <w:t>Nuisance-only control: dùng tập predictor chỉ gồm artifact summaries, line-noise burden, reference-channel proxies hoặc ICA artifact summaries; nếu Q_nuisance cao, teacher bị xem là nghi nhiễu.</w:t>
      </w:r>
    </w:p>
    <w:p>
      <w:pPr>
        <w:pStyle w:val="ListBullet"/>
      </w:pPr>
      <w:r>
        <w:t>ICA robustness ratio: giữ tinh thần V5.4 - teacher observable thật phải không sụp khi sang artifact-reduced branch.</w:t>
      </w:r>
    </w:p>
    <w:p>
      <w:pPr>
        <w:pStyle w:val="H2Custom"/>
      </w:pPr>
      <w:r>
        <w:t>11.2 Cross-subject observability validation and coverage stratification</w:t>
      </w:r>
    </w:p>
    <w:p>
      <w:pPr/>
      <w:r>
        <w:rPr>
          <w:i w:val="0"/>
        </w:rPr>
        <w:t>Atlas của V5.5 không chỉ báo cáo observability pooled. Nó bắt buộc tách לפחות hai lớp: within-train observability và outer-test transfer consistency. Điều này giúp phân biệt teacher dễ được dự đoán trong outer-train nhưng không ổn định khi gặp subject mới.</w:t>
      </w:r>
    </w:p>
    <w:p>
      <w:pPr/>
      <w:r>
        <w:rPr>
          <w:i w:val="0"/>
        </w:rPr>
        <w:t>Ngoài ra atlas phải stratify theo electrode coverage: số clean contacts trong ROI, depth-vs-strip/grid pattern nếu có, và support ratio sau QC. Nếu không làm vậy, observability atlas dễ bị hiểu nhầm thành bản đồ sinh lý trong khi thực tế có thể phản ánh coverage heterogeneity.</w:t>
      </w:r>
    </w:p>
    <w:p>
      <w:pPr>
        <w:pStyle w:val="H1Custom"/>
      </w:pPr>
      <w:r>
        <w:t>12. Preprocessing, normalization and marker governance</w:t>
      </w:r>
    </w:p>
    <w:p>
      <w:pPr/>
      <w:r>
        <w:rPr>
          <w:i w:val="0"/>
        </w:rPr>
        <w:t>Proposal V5.5 giữ sampling rate mặc định 250 Hz, minimal scalp branch, ICA stress-test branch, iEEG branch và subject-aware normalization từ V5.4. Những gì đã đúng không bị đổi. Điểm mới là proposal chuẩn hóa cách giải thích chúng và thêm gate cho marker quality.</w:t>
      </w:r>
    </w:p>
    <w:p>
      <w:pPr/>
      <w:r>
        <w:rPr>
          <w:i w:val="0"/>
        </w:rPr>
        <w:t>ICA branch vẫn phải gần điều kiện vận hành được MNE-ICALabel mô tả: extended infomax, common average reference và filtered copy 1-100 Hz cho phần fit. Proposal không nâng ASR lên mainline vì điều đó sẽ đổi đường diễn giải hiện có; ASR chỉ sống ở supplementary stress-test.</w:t>
      </w:r>
    </w:p>
    <w:p>
      <w:pPr/>
      <w:r>
        <w:rPr>
          <w:i w:val="0"/>
        </w:rPr>
        <w:t>Group C phase-transition targets chỉ được bật khi marker audit đạt bằng jitter_ratio và drift diagnostics. Các ngưỡng 10 ms/25 ms từ draft cũ được giữ làm diagnostic landmarks, nhưng hard gate chính chuyển sang relative threshold để phù hợp hơn với window duration và resampling behavior.</w:t>
      </w:r>
    </w:p>
    <w:p>
      <w:pPr>
        <w:pStyle w:val="H1Custom"/>
      </w:pPr>
      <w:r>
        <w:t>13. Comparator-aware model stack</w:t>
      </w:r>
    </w:p>
    <w:p>
      <w:pPr/>
      <w:r>
        <w:rPr>
          <w:i w:val="0"/>
        </w:rPr>
        <w:t>EEGNet vẫn là backbone mainline vì phù hợp với dữ liệu EEG nhỏ mẫu, dễ kiểm soát regularization và thuận lợi cho so sánh xuyên điều kiện. Shallow ConvNet vẫn là control model thiên band-power. Phần thay đổi quan trọng nằm ở comparator stack.</w:t>
      </w:r>
    </w:p>
    <w:p>
      <w:pPr/>
      <w:r>
        <w:rPr>
          <w:i w:val="0"/>
        </w:rPr>
        <w:t>V5.5 giữ A2, A2b, A2c, A3, A4 và bridge-related conditions từ V5.4, nhưng thêm A2d như một comparator scalp-only mạnh hơn dựa trên covariance geometry. Điều này tăng độ tin cậy của claim boundary: privileged iEEG không được xem là có unique value nếu chỉ hơn CORAL nhưng không hơn một Riemannian baseline được thực hiện đúng leakage discipline.</w:t>
      </w:r>
    </w:p>
    <w:tbl>
      <w:tblPr>
        <w:tblStyle w:val="TableGrid"/>
        <w:tblW w:type="auto" w:w="0"/>
        <w:jc w:val="center"/>
        <w:tblLayout w:type="fixed"/>
        <w:tblLook w:firstColumn="1" w:firstRow="1" w:lastColumn="0" w:lastRow="0" w:noHBand="0" w:noVBand="1" w:val="04A0"/>
      </w:tblPr>
      <w:tblGrid>
        <w:gridCol w:w="3175"/>
        <w:gridCol w:w="3175"/>
        <w:gridCol w:w="3175"/>
      </w:tblGrid>
      <w:tr>
        <w:trPr>
          <w:cantSplit/>
          <w:tblHeader/>
        </w:trPr>
        <w:tc>
          <w:tcPr>
            <w:tcW w:type="dxa" w:w="3175"/>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9"/>
              </w:rPr>
              <w:t>Điều kiện</w:t>
            </w:r>
          </w:p>
        </w:tc>
        <w:tc>
          <w:tcPr>
            <w:tcW w:type="dxa" w:w="3175"/>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9"/>
              </w:rPr>
              <w:t>Mô tả ngắn</w:t>
            </w:r>
          </w:p>
        </w:tc>
        <w:tc>
          <w:tcPr>
            <w:tcW w:type="dxa" w:w="3175"/>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9"/>
              </w:rPr>
              <w:t>Vai trò trong claim</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A2</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Scalp-only neural baseline</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Baseline cùng family kiến trúc</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A2b</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Pooled scalp-only cross-subject model</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Kiểm tra lợi ích từ pooling đơn thuần</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A2c</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CORAL-based scalp-only domain generalization</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Comparator đơn giản và claim-protective</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A2d</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Riemannian covariance baseline</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Comparator mạnh hơn, bắt buộc cho headline claim</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A3</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Blind/full teacher distillation</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Kiểm tra naive privileged transfer</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A4</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Observability-constrained privileged transfer</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Main hypothesis test</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A5/A6</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Bridge-augmented conditions</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9"/>
              </w:rPr>
              <w:t>Chỉ Phase 3, không là claim chính</w:t>
            </w:r>
          </w:p>
        </w:tc>
      </w:tr>
    </w:tbl>
    <w:p/>
    <w:p>
      <w:pPr>
        <w:pStyle w:val="H2Custom"/>
      </w:pPr>
      <w:r>
        <w:t>13.1 A2d implementation discipline</w:t>
      </w:r>
    </w:p>
    <w:p>
      <w:pPr/>
      <w:r>
        <w:rPr>
          <w:i w:val="0"/>
        </w:rPr>
        <w:t>A2d nên dùng covariance estimation trên maintenance epoch, sau đó global training-reference alignment trên manifold và tangent-space classifier hoặc tương đương. Mọi fit chỉ được diễn ra trên outer-train. Nếu dùng pyRiemann transfer estimators, proposal buộc audit rõ semantics của fit_transform trên training set và transform trên outer-test domain để tránh leakage ngầm qua target-domain fitting.</w:t>
      </w:r>
    </w:p>
    <w:p>
      <w:pPr>
        <w:pStyle w:val="H1Custom"/>
      </w:pPr>
      <w:r>
        <w:t>14. Calibration, uncertainty and reliability reporting</w:t>
      </w:r>
    </w:p>
    <w:p>
      <w:pPr/>
      <w:r>
        <w:rPr>
          <w:i w:val="0"/>
        </w:rPr>
        <w:t>V5.5 tiếp tục xem calibration là thành phần chính chứ không phải phụ lục đẹp mắt. Temperature scaling là default route vì ít tham số và phù hợp cohort nhỏ. Vector scaling chỉ được dùng như alternative có kiểm soát khi inner-validation hỗ trợ một cách ổn định.</w:t>
      </w:r>
    </w:p>
    <w:p>
      <w:pPr/>
      <w:r>
        <w:rPr>
          <w:i w:val="0"/>
        </w:rPr>
        <w:t>Một model thắng discrimination nhưng đánh đổi bằng calibration tệ đi quá mức không đủ để củng cố privileged-value claim. Proposal buộc báo cáo pooled và subject-wise ECE, Brier, NLL, reliability diagrams và risk-coverage curves.</w:t>
      </w:r>
    </w:p>
    <w:p>
      <w:pPr/>
      <w:r>
        <w:rPr>
          <w:i w:val="0"/>
        </w:rPr>
        <w:t>Uncertainty-based rejection, conformal prediction hoặc evidential heads vẫn ở supplementary/ablation. Proposal không cho phép chúng tái định nghĩa main claim.</w:t>
      </w:r>
    </w:p>
    <w:p>
      <w:pPr>
        <w:pStyle w:val="H1Custom"/>
      </w:pPr>
      <w:r>
        <w:t>15. Bridge strategy: sentinel-first and null-acceptable</w:t>
      </w:r>
    </w:p>
    <w:p>
      <w:pPr/>
      <w:r>
        <w:rPr>
          <w:i w:val="0"/>
        </w:rPr>
        <w:t>Bridge là nơi dễ tiêu tốn effort nhất nhưng cũng có xác suất null effect cao. Vì vậy V5.5 thay full bridge ambition bằng sentinel-first rollout. Phase 3A chỉ bật một bridge probe chuẩn tắc, được pre-specified trước manifest-based model inspection.</w:t>
      </w:r>
    </w:p>
    <w:p>
      <w:pPr/>
      <w:r>
        <w:rPr>
          <w:i w:val="0"/>
        </w:rPr>
        <w:t>Sentinel bridge phải có deterministic selection rule. Proposal không cho phép chọn sentinel theo ROI trông “đẹp” hơn sau khi quan sát observability hoặc decoding trends. Nếu sentinel null, dự án dừng bridge module một cách trung thực và vẫn hoàn toàn hợp lệ về mặt khoa học.</w:t>
      </w:r>
    </w:p>
    <w:p>
      <w:pPr/>
      <w:r>
        <w:rPr>
          <w:i w:val="0"/>
        </w:rPr>
        <w:t>Bridge QC vẫn gồm stability, signal quality, leakage sanity và physiological plausibility. Randomized bridge và phase-scrambled bridge là negative controls bắt buộc.</w:t>
      </w:r>
      <w:r>
        <w:br w:type="page"/>
      </w:r>
    </w:p>
    <w:p>
      <w:pPr>
        <w:pStyle w:val="H1Custom"/>
      </w:pPr>
      <w:r>
        <w:t>16. Evaluation framework and unified claim states</w:t>
      </w:r>
    </w:p>
    <w:p>
      <w:pPr/>
      <w:r>
        <w:rPr>
          <w:i w:val="0"/>
        </w:rPr>
        <w:t>Primary metric vẫn là per-subject balanced accuracy under nested LOSO. Statistics chính gồm paired permutation tests trên subject-level gains, BCa bootstrap intervals và influence analysis. Bayesian hierarchical model chỉ là interpretive support.</w:t>
      </w:r>
    </w:p>
    <w:p>
      <w:pPr/>
      <w:r>
        <w:rPr>
          <w:i w:val="0"/>
        </w:rPr>
        <w:t>Khác với V5.4, proposal V5.5 gom mọi kết cục diễn giải vào một state table duy nhất để ngăn đổi narrative sau khi xem kết quả.</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cantSplit/>
          <w:tblHeader/>
        </w:trPr>
        <w:tc>
          <w:tcPr>
            <w:tcW w:type="dxa" w:w="2381"/>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State</w:t>
            </w:r>
          </w:p>
        </w:tc>
        <w:tc>
          <w:tcPr>
            <w:tcW w:type="dxa" w:w="2381"/>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Mẫu kết quả</w:t>
            </w:r>
          </w:p>
        </w:tc>
        <w:tc>
          <w:tcPr>
            <w:tcW w:type="dxa" w:w="2381"/>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Diễn giải được phép</w:t>
            </w:r>
          </w:p>
        </w:tc>
        <w:tc>
          <w:tcPr>
            <w:tcW w:type="dxa" w:w="2381"/>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Kết cục bài báo</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State A</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A4 &gt; A3, A2b, A2c, A2d; calibration đạt; influence concentration hợp lệ</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Strong privileged-value claim</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Positive privileged-transfer paper</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State B</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A4 &gt; A3 nhưng xấp xỉ A2c hoặc A2d; hoặc strong gain nhưng influence governance chặn claim mạnh</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Mechanism / regularization claim</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Narrowed mechanism paper</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State C</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Observability atlas mạnh nhưng decoding gain không robust trước scalp-only alternatives</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Transfer frontier / observability-atlas claim</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Atlas-centered paper</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State D</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Leakage fail, synthetic fail, control fail hoặc governance fail nghiêm trọng</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Không có substantive claim</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Method debugging / no-claim outcome</w:t>
            </w:r>
          </w:p>
        </w:tc>
      </w:tr>
    </w:tbl>
    <w:p/>
    <w:p>
      <w:pPr>
        <w:pStyle w:val="H1Custom"/>
      </w:pPr>
      <w:r>
        <w:t>17. Phase roadmap and publication logic</w:t>
      </w:r>
    </w:p>
    <w:p>
      <w:pPr/>
      <w:r>
        <w:rPr>
          <w:i w:val="0"/>
        </w:rPr>
        <w:t>Proposal V5.5 không còn xem toàn bộ dự án là một single-shot execution. Nó tách thành các phase để tăng xác suất ra output có giá trị ngay cả khi phần tham vọng nhất không mở được.</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cantSplit/>
          <w:tblHeader/>
        </w:trPr>
        <w:tc>
          <w:tcPr>
            <w:tcW w:type="dxa" w:w="2381"/>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8"/>
              </w:rPr>
              <w:t>Pha</w:t>
            </w:r>
          </w:p>
        </w:tc>
        <w:tc>
          <w:tcPr>
            <w:tcW w:type="dxa" w:w="2381"/>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8"/>
              </w:rPr>
              <w:t>Nội dung</w:t>
            </w:r>
          </w:p>
        </w:tc>
        <w:tc>
          <w:tcPr>
            <w:tcW w:type="dxa" w:w="2381"/>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8"/>
              </w:rPr>
              <w:t>Deliverables</w:t>
            </w:r>
          </w:p>
        </w:tc>
        <w:tc>
          <w:tcPr>
            <w:tcW w:type="dxa" w:w="2381"/>
            <w:tcMar>
              <w:top w:w="80" w:type="dxa"/>
              <w:start w:w="120" w:type="dxa"/>
              <w:bottom w:w="80" w:type="dxa"/>
              <w:end w:w="120" w:type="dxa"/>
            </w:tcMar>
            <w:vAlign w:val="center"/>
            <w:shd w:fill="EAF1FB"/>
          </w:tcPr>
          <w:p>
            <w:pPr>
              <w:spacing w:after="40" w:before="0" w:line="252" w:lineRule="auto"/>
            </w:pPr>
            <w:r>
              <w:rPr>
                <w:rFonts w:ascii="Aptos" w:hAnsi="Aptos" w:eastAsia="Aptos"/>
                <w:b/>
                <w:color w:val="1B365D"/>
                <w:sz w:val="18"/>
              </w:rPr>
              <w:t>Điều kiện chuyển pha</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Phase 0</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Dataset freeze và cohort lock</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Manifest + cohort appendix</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Gate 0 qua</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Phase 0.5</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Observability-only run</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Preliminary atlas + control report</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Gate 1 và observability diagnostics sạch</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Phase 1</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Minimal preprocessing, Group A/B, A2/A2b/A2c/A2d/A3/A4, calibration</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Mainline decoding + comparator package</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Gate 2 và Gate 2.5 qua</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Phase 2</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Group C/D và marker-gated sensitivities</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Phase-transition / cross-frequency supplement</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Marker audit đạt và Phase 1 ổn định</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Phase 3A</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Sentinel bridge rollout</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Bridge QC + A5/A6 + bridge controls</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Sentinel có support và controls đúng kỳ vọng</w:t>
            </w:r>
          </w:p>
        </w:tc>
      </w:tr>
      <w:tr>
        <w:trPr>
          <w:cantSplit/>
        </w:trPr>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Phase 3B</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Selective bridge expansion</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Bridge-family supplement</w:t>
            </w:r>
          </w:p>
        </w:tc>
        <w:tc>
          <w:tcPr>
            <w:tcW w:type="dxa" w:w="2381"/>
            <w:tcMar>
              <w:top w:w="80" w:type="dxa"/>
              <w:start w:w="120" w:type="dxa"/>
              <w:bottom w:w="80" w:type="dxa"/>
              <w:end w:w="120" w:type="dxa"/>
            </w:tcMar>
            <w:vAlign w:val="center"/>
          </w:tcPr>
          <w:p>
            <w:pPr>
              <w:spacing w:after="40" w:before="0" w:line="252" w:lineRule="auto"/>
            </w:pPr>
            <w:r>
              <w:rPr>
                <w:rFonts w:ascii="Aptos" w:hAnsi="Aptos" w:eastAsia="Aptos"/>
                <w:sz w:val="18"/>
              </w:rPr>
              <w:t>Chỉ khi Phase 3A không hoàn toàn null</w:t>
            </w:r>
          </w:p>
        </w:tc>
      </w:tr>
    </w:tbl>
    <w:p/>
    <w:p>
      <w:pPr/>
      <w:r>
        <w:rPr>
          <w:b/>
        </w:rPr>
        <w:t xml:space="preserve">Publication logic </w:t>
      </w:r>
      <w:r>
        <w:t>của proposal vì vậy được khóa từ trước: nếu privileged transfer không vượt scalp-only alternatives robustly, output chính phải chuyển sang observability-atlas / transfer-frontier thay vì benchmark narrative.</w:t>
      </w:r>
    </w:p>
    <w:p>
      <w:pPr>
        <w:pStyle w:val="H1Custom"/>
      </w:pPr>
      <w:r>
        <w:t>18. Key risks and mitigation logic</w:t>
      </w:r>
    </w:p>
    <w:tbl>
      <w:tblPr>
        <w:tblStyle w:val="TableGrid"/>
        <w:tblW w:type="auto" w:w="0"/>
        <w:jc w:val="center"/>
        <w:tblLayout w:type="fixed"/>
        <w:tblLook w:firstColumn="1" w:firstRow="1" w:lastColumn="0" w:lastRow="0" w:noHBand="0" w:noVBand="1" w:val="04A0"/>
      </w:tblPr>
      <w:tblGrid>
        <w:gridCol w:w="3175"/>
        <w:gridCol w:w="3175"/>
        <w:gridCol w:w="3175"/>
      </w:tblGrid>
      <w:tr>
        <w:trPr>
          <w:cantSplit/>
          <w:tblHeader/>
        </w:trPr>
        <w:tc>
          <w:tcPr>
            <w:tcW w:type="dxa" w:w="3175"/>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Rủi ro</w:t>
            </w:r>
          </w:p>
        </w:tc>
        <w:tc>
          <w:tcPr>
            <w:tcW w:type="dxa" w:w="3175"/>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Cơ chế giảm thiểu trong V5.5</w:t>
            </w:r>
          </w:p>
        </w:tc>
        <w:tc>
          <w:tcPr>
            <w:tcW w:type="dxa" w:w="3175"/>
            <w:tcMar>
              <w:top w:w="80" w:type="dxa"/>
              <w:start w:w="120" w:type="dxa"/>
              <w:bottom w:w="80" w:type="dxa"/>
              <w:end w:w="120" w:type="dxa"/>
            </w:tcMar>
            <w:vAlign w:val="center"/>
            <w:shd w:fill="D9E6F2"/>
          </w:tcPr>
          <w:p>
            <w:pPr>
              <w:spacing w:after="40" w:before="0" w:line="252" w:lineRule="auto"/>
            </w:pPr>
            <w:r>
              <w:rPr>
                <w:rFonts w:ascii="Aptos" w:hAnsi="Aptos" w:eastAsia="Aptos"/>
                <w:b/>
                <w:color w:val="1B365D"/>
                <w:sz w:val="18"/>
              </w:rPr>
              <w:t>Diễn giải nếu chưa giải quyết hết</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Small clinical cohort</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Decision simulation, SESOI, influence ceiling, subject-level analysis, BCa CI, pivot states</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Kết quả được đọc như transfer-frontier evidence chứ không như population-wide benchmark</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Teacher pool quá yếu</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Hard veto + viability floor tau_viable + fold states</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Privileged pathway có thể bị hạ vai trò ở một số folds mà không làm hỏng toàn bộ project</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Artifact-driven predictability</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Task-contrast observability, spatial control, nuisance-only control, ICA robustness</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Teacher không vượt control suite bị xem là non-transferable</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Comparator insufficiency</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A2b + A2c + A2d đều bắt buộc</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Claim mạnh bị vô hiệu nếu thiếu comparator</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Bridge fragility</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Sentinel-first rollout + null-acceptable interpretation</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Null bridge effect không bị coi là failure</w:t>
            </w:r>
          </w:p>
        </w:tc>
      </w:tr>
      <w:tr>
        <w:trPr>
          <w:cantSplit/>
        </w:trPr>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Researcher degrees of freedom</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Gate 2.5 prereg bundle + revision log discipline</w:t>
            </w:r>
          </w:p>
        </w:tc>
        <w:tc>
          <w:tcPr>
            <w:tcW w:type="dxa" w:w="3175"/>
            <w:tcMar>
              <w:top w:w="80" w:type="dxa"/>
              <w:start w:w="120" w:type="dxa"/>
              <w:bottom w:w="80" w:type="dxa"/>
              <w:end w:w="120" w:type="dxa"/>
            </w:tcMar>
            <w:vAlign w:val="center"/>
          </w:tcPr>
          <w:p>
            <w:pPr>
              <w:spacing w:after="40" w:before="0" w:line="252" w:lineRule="auto"/>
            </w:pPr>
            <w:r>
              <w:rPr>
                <w:rFonts w:ascii="Aptos" w:hAnsi="Aptos" w:eastAsia="Aptos"/>
                <w:sz w:val="18"/>
              </w:rPr>
              <w:t>Post-hoc changes không được phép tái định nghĩa headline claim</w:t>
            </w:r>
          </w:p>
        </w:tc>
      </w:tr>
    </w:tbl>
    <w:p/>
    <w:p>
      <w:pPr>
        <w:pStyle w:val="H1Custom"/>
      </w:pPr>
      <w:r>
        <w:t>19. Expected contributions</w:t>
      </w:r>
    </w:p>
    <w:p>
      <w:pPr>
        <w:pStyle w:val="ListBullet"/>
      </w:pPr>
      <w:r>
        <w:t>Một formulation chặt hơn của privileged learning dưới observability asymmetry trong simultaneous human electrophysiology, với comparator discipline mạnh hơn V5.4.</w:t>
      </w:r>
    </w:p>
    <w:p>
      <w:pPr>
        <w:pStyle w:val="ListBullet"/>
      </w:pPr>
      <w:r>
        <w:t>Một transfer gate được giữ semantics khoa học nhưng có governance ở mức fold để tránh renormalization cứu teacher pool yếu.</w:t>
      </w:r>
    </w:p>
    <w:p>
      <w:pPr>
        <w:pStyle w:val="ListBullet"/>
      </w:pPr>
      <w:r>
        <w:t>Một observability framework nâng cấp từ predictability sang task-contrast observability có anti-nuisance controls tích hợp.</w:t>
      </w:r>
    </w:p>
    <w:p>
      <w:pPr>
        <w:pStyle w:val="ListBullet"/>
      </w:pPr>
      <w:r>
        <w:t>Một evaluation stack công bằng hơn nhờ bổ sung A2d Riemannian comparator và unified claim states.</w:t>
      </w:r>
    </w:p>
    <w:p>
      <w:pPr>
        <w:pStyle w:val="ListBullet"/>
      </w:pPr>
      <w:r>
        <w:t>Một publication strategy trung thực: strong claim khi data support đủ, mechanism claim khi đủ vừa, atlas claim khi benchmark gain yếu, và no-claim state khi governance fail.</w:t>
      </w:r>
    </w:p>
    <w:p>
      <w:pPr>
        <w:pStyle w:val="ListBullet"/>
      </w:pPr>
      <w:r>
        <w:t>Một gói nghiên cứu có thể tái lập và kiểm toán được, trong đó manifest, decision memo, synthetic validation, prereg bundle và revision log là một phần của scientific product.</w:t>
      </w:r>
    </w:p>
    <w:p>
      <w:pPr>
        <w:pStyle w:val="H1Custom"/>
      </w:pPr>
      <w:r>
        <w:t>20. Reporting package, preregistration and revision discipline</w:t>
      </w:r>
    </w:p>
    <w:p>
      <w:pPr/>
      <w:r>
        <w:rPr>
          <w:i w:val="0"/>
        </w:rPr>
        <w:t>Bản proposal khớp với technical specification ở chỗ coi reporting package là thành phần khoa học trung tâm. Main report phải chứa comparator completeness table, subject-wise gains, calibration tables, observability atlas, negative-control outcomes, decision memo summary và explicit claim state.</w:t>
      </w:r>
    </w:p>
    <w:p>
      <w:pPr/>
      <w:r>
        <w:rPr>
          <w:i w:val="0"/>
        </w:rPr>
        <w:t>Preregistration được nâng thành Gate 2.5 thực thụ. Không có prereg bundle thì chỉ smoke tests, synthetic tests và audit jobs được phép chạy; substantive Phase 1/2/3 mainline bị chặn.</w:t>
      </w:r>
    </w:p>
    <w:p>
      <w:pPr/>
      <w:r>
        <w:rPr>
          <w:i w:val="0"/>
        </w:rPr>
        <w:t>Mọi thay đổi sau prereg phải nằm trong revision log, ghi rõ pre-registered hay post-hoc và không được âm thầm trôi vào code.</w:t>
      </w:r>
    </w:p>
    <w:p>
      <w:pPr>
        <w:pStyle w:val="H1Custom"/>
      </w:pPr>
      <w:r>
        <w:t>21. Limitations that must be stated explicitly</w:t>
      </w:r>
    </w:p>
    <w:p>
      <w:pPr>
        <w:pStyle w:val="ListBullet"/>
      </w:pPr>
      <w:r>
        <w:t>Đây vẫn là small-N clinical cohort; outer-fold variance lớn là gần như chắc chắn.</w:t>
      </w:r>
    </w:p>
    <w:p>
      <w:pPr>
        <w:pStyle w:val="ListBullet"/>
      </w:pPr>
      <w:r>
        <w:t>Observability là phát biểu về out-of-fold predictability dưới measurement setup hiện tại, không phải causal accessibility.</w:t>
      </w:r>
    </w:p>
    <w:p>
      <w:pPr>
        <w:pStyle w:val="ListBullet"/>
      </w:pPr>
      <w:r>
        <w:t>Admissibility vẫn là signal-derived proxy; nó không thay clinical adjudication về interictal contamination.</w:t>
      </w:r>
    </w:p>
    <w:p>
      <w:pPr>
        <w:pStyle w:val="ListBullet"/>
      </w:pPr>
      <w:r>
        <w:t>ICA/ICLabel có thể suy giảm chất lượng trên dữ liệu bệnh lý dù điều kiện tiền xử lý gần đúng được đáp ứng.</w:t>
      </w:r>
    </w:p>
    <w:p>
      <w:pPr>
        <w:pStyle w:val="ListBullet"/>
      </w:pPr>
      <w:r>
        <w:t>A2d mạnh hơn A2c nhưng vẫn không đại diện cho mọi baseline scalp-only khả dĩ; claim vẫn phải thận trọng.</w:t>
      </w:r>
    </w:p>
    <w:p>
      <w:pPr>
        <w:pStyle w:val="ListBullet"/>
      </w:pPr>
      <w:r>
        <w:t>Null bridge effect hoàn toàn khả dĩ và không phải lỗi triển khai.</w:t>
      </w:r>
    </w:p>
    <w:p>
      <w:pPr>
        <w:pStyle w:val="ListBullet"/>
      </w:pPr>
      <w:r>
        <w:t>Ngay cả khi A4 thắng, kết quả vẫn bị ràng buộc trong setting verbal working memory của cohort động kinh này; proposal không cho phép khái quát hóa quá mức.</w:t>
      </w:r>
    </w:p>
    <w:p>
      <w:pPr>
        <w:pStyle w:val="H1Custom"/>
      </w:pPr>
      <w:r>
        <w:t>22. Operational conclusion of proposal V5.5</w:t>
      </w:r>
    </w:p>
    <w:p>
      <w:pPr/>
      <w:r>
        <w:rPr>
          <w:i w:val="0"/>
        </w:rPr>
        <w:t>V5.5 proposal không cố làm đề tài nhẹ đi bằng cách cắt bỏ phần khó. Nó làm đề tài này bảo vệ được hơn bằng cách đồng bộ hóa hoàn toàn với technical specification: khóa cohort trước, khóa ngưỡng diễn giải trước, chứng minh pipeline đúng lý do trước, rồi mới chạy dữ liệu thật.</w:t>
      </w:r>
    </w:p>
    <w:p>
      <w:pPr/>
      <w:r>
        <w:rPr>
          <w:i w:val="0"/>
        </w:rPr>
        <w:t>Nếu mọi phase thành công, V5.5 hỗ trợ một privileged-transfer claim mạnh hơn V5.4 vì comparator stack cứng hơn, observability controls sâu hơn và governance rõ hơn. Nếu các phase sau không mở được nhưng Phase 1 và Phase 0.5 sạch, dự án vẫn còn một lõi học thuật rất có giá trị: observability-constrained transfer được đặt cạnh scalp-only alternatives mạnh và được diễn giải trung thực như một transfer frontier trong người.</w:t>
      </w:r>
    </w:p>
    <w:p>
      <w:pPr>
        <w:pStyle w:val="H1Custom"/>
      </w:pPr>
      <w:r>
        <w:t>23. Reference basis for proposal V5.5</w:t>
      </w:r>
    </w:p>
    <w:p>
      <w:pPr>
        <w:pStyle w:val="ListNumber"/>
      </w:pPr>
      <w:r>
        <w:t>Boran E., et al. Dataset of human medial temporal lobe neurons, scalp and intracranial EEG during a verbal working memory task. Scientific Data, 2020.</w:t>
      </w:r>
    </w:p>
    <w:p>
      <w:pPr>
        <w:pStyle w:val="ListNumber"/>
      </w:pPr>
      <w:r>
        <w:t>OpenNeuro ds004752 metadata / release pages: simultaneous scalp EEG, iEEG and beamforming derivatives during modified Sternberg verbal working memory task.</w:t>
      </w:r>
    </w:p>
    <w:p>
      <w:pPr>
        <w:pStyle w:val="ListNumber"/>
      </w:pPr>
      <w:r>
        <w:t>Vapnik V., Vashist A. Learning using privileged information.</w:t>
      </w:r>
    </w:p>
    <w:p>
      <w:pPr>
        <w:pStyle w:val="ListNumber"/>
      </w:pPr>
      <w:r>
        <w:t>Guo C., et al. On calibration of modern neural networks.</w:t>
      </w:r>
    </w:p>
    <w:p>
      <w:pPr>
        <w:pStyle w:val="ListNumber"/>
      </w:pPr>
      <w:r>
        <w:t>Tenenhaus A., et al. Regularized generalized canonical correlation analysis.</w:t>
      </w:r>
    </w:p>
    <w:p>
      <w:pPr>
        <w:pStyle w:val="ListNumber"/>
      </w:pPr>
      <w:r>
        <w:t>Lawhern V., et al. EEGNet.</w:t>
      </w:r>
    </w:p>
    <w:p>
      <w:pPr>
        <w:pStyle w:val="ListNumber"/>
      </w:pPr>
      <w:r>
        <w:t>Schirrmeister R.T., et al. Deep learning with convolutional neural networks for EEG decoding.</w:t>
      </w:r>
    </w:p>
    <w:p>
      <w:pPr>
        <w:pStyle w:val="ListNumber"/>
      </w:pPr>
      <w:r>
        <w:t>Sun B., Saenko K. Deep CORAL.</w:t>
      </w:r>
    </w:p>
    <w:p>
      <w:pPr>
        <w:pStyle w:val="ListNumber"/>
      </w:pPr>
      <w:r>
        <w:t>MNE-ICALabel documentation: ICLabel assumptions and usage conditions.</w:t>
      </w:r>
    </w:p>
    <w:p>
      <w:pPr>
        <w:pStyle w:val="ListNumber"/>
      </w:pPr>
      <w:r>
        <w:t>pyRiemann documentation and transfer-learning references for Riemannian EEG/BCI pipelines.</w:t>
      </w:r>
    </w:p>
    <w:p>
      <w:pPr>
        <w:pStyle w:val="ListNumber"/>
      </w:pPr>
      <w:r>
        <w:t>Varoquaux G. Assessing and tuning brain decoders; cross-validation with small sample sizes leads to large error bars.</w:t>
      </w:r>
    </w:p>
    <w:p>
      <w:pPr>
        <w:pStyle w:val="ListNumber"/>
      </w:pPr>
      <w:r>
        <w:t>Good scientific practice in EEG and MEG research.</w:t>
      </w:r>
    </w:p>
    <w:p>
      <w:pPr>
        <w:pStyle w:val="ListNumber"/>
      </w:pPr>
      <w:r>
        <w:t>Subramanian A.K., et al. Scalp EEG predicts intracranial brain activity in humans.</w:t>
      </w:r>
    </w:p>
    <w:p>
      <w:pPr>
        <w:pStyle w:val="ListNumber"/>
      </w:pPr>
      <w:r>
        <w:t>V5.5 Technical Implementation Specification - synchronized master for execution rules.</w:t>
      </w:r>
    </w:p>
    <w:p/>
    <w:p>
      <w:pPr>
        <w:pStyle w:val="SmallCapsCustom"/>
        <w:jc w:val="center"/>
      </w:pPr>
      <w:r>
        <w:t>V5.5 Integrated Proposal | Final synchronized draft</w:t>
      </w:r>
    </w:p>
    <w:p>
      <w:r>
        <w:br w:type="page"/>
      </w:r>
    </w:p>
    <w:p>
      <w:pPr>
        <w:pStyle w:val="H1Custom"/>
      </w:pPr>
      <w:r>
        <w:t>Appendix A. Synchronization checklist between proposal V5.5 and technical specification V5.5</w:t>
      </w:r>
    </w:p>
    <w:p>
      <w:pPr/>
      <w:r>
        <w:t>Phụ lục này không thêm claim mới. Nó chỉ xác nhận rằng proposal giữ đúng phạm vi khoa học của V5.5 technical specification và không tái diễn giải lại các rule khóa đã được chốt ở bản kỹ thuật.</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3175"/>
            <w:vAlign w:val="center"/>
            <w:tcMar>
              <w:top w:w="80" w:type="dxa"/>
              <w:start w:w="120" w:type="dxa"/>
              <w:bottom w:w="80" w:type="dxa"/>
              <w:end w:w="120" w:type="dxa"/>
            </w:tcMar>
            <w:shd w:fill="D9E6F2"/>
          </w:tcPr>
          <w:p>
            <w:pPr>
              <w:spacing w:after="40"/>
            </w:pPr>
            <w:r>
              <w:rPr>
                <w:rFonts w:ascii="Aptos" w:hAnsi="Aptos"/>
                <w:b/>
                <w:color w:val="1B365D"/>
                <w:sz w:val="18"/>
              </w:rPr>
              <w:t>Miền nội dung</w:t>
            </w:r>
          </w:p>
        </w:tc>
        <w:tc>
          <w:tcPr>
            <w:tcW w:type="dxa" w:w="3175"/>
            <w:vAlign w:val="center"/>
            <w:tcMar>
              <w:top w:w="80" w:type="dxa"/>
              <w:start w:w="120" w:type="dxa"/>
              <w:bottom w:w="80" w:type="dxa"/>
              <w:end w:w="120" w:type="dxa"/>
            </w:tcMar>
            <w:shd w:fill="D9E6F2"/>
          </w:tcPr>
          <w:p>
            <w:pPr>
              <w:spacing w:after="40"/>
            </w:pPr>
            <w:r>
              <w:rPr>
                <w:rFonts w:ascii="Aptos" w:hAnsi="Aptos"/>
                <w:b/>
                <w:color w:val="1B365D"/>
                <w:sz w:val="18"/>
              </w:rPr>
              <w:t>Trạng thái đồng bộ</w:t>
            </w:r>
          </w:p>
        </w:tc>
        <w:tc>
          <w:tcPr>
            <w:tcW w:type="dxa" w:w="3175"/>
            <w:vAlign w:val="center"/>
            <w:tcMar>
              <w:top w:w="80" w:type="dxa"/>
              <w:start w:w="120" w:type="dxa"/>
              <w:bottom w:w="80" w:type="dxa"/>
              <w:end w:w="120" w:type="dxa"/>
            </w:tcMar>
            <w:shd w:fill="D9E6F2"/>
          </w:tcPr>
          <w:p>
            <w:pPr>
              <w:spacing w:after="40"/>
            </w:pPr>
            <w:r>
              <w:rPr>
                <w:rFonts w:ascii="Aptos" w:hAnsi="Aptos"/>
                <w:b/>
                <w:color w:val="1B365D"/>
                <w:sz w:val="18"/>
              </w:rPr>
              <w:t>Ghi chú</w:t>
            </w:r>
          </w:p>
        </w:tc>
      </w:tr>
      <w:tr>
        <w:trPr>
          <w:cantSplit/>
        </w:trPr>
        <w:tc>
          <w:tcPr>
            <w:tcW w:type="dxa" w:w="3175"/>
            <w:vAlign w:val="center"/>
            <w:tcMar>
              <w:top w:w="80" w:type="dxa"/>
              <w:start w:w="120" w:type="dxa"/>
              <w:bottom w:w="80" w:type="dxa"/>
              <w:end w:w="120" w:type="dxa"/>
            </w:tcMar>
          </w:tcPr>
          <w:p>
            <w:pPr>
              <w:spacing w:after="40"/>
            </w:pPr>
            <w:r>
              <w:rPr>
                <w:rFonts w:ascii="Aptos" w:hAnsi="Aptos"/>
                <w:sz w:val="18"/>
              </w:rPr>
              <w:t>Primary endpoint</w:t>
            </w:r>
          </w:p>
        </w:tc>
        <w:tc>
          <w:tcPr>
            <w:tcW w:type="dxa" w:w="3175"/>
            <w:vAlign w:val="center"/>
            <w:tcMar>
              <w:top w:w="80" w:type="dxa"/>
              <w:start w:w="120" w:type="dxa"/>
              <w:bottom w:w="80" w:type="dxa"/>
              <w:end w:w="120" w:type="dxa"/>
            </w:tcMar>
          </w:tcPr>
          <w:p>
            <w:pPr>
              <w:spacing w:after="40"/>
            </w:pPr>
            <w:r>
              <w:rPr>
                <w:rFonts w:ascii="Aptos" w:hAnsi="Aptos"/>
                <w:sz w:val="18"/>
              </w:rPr>
              <w:t>Khớp hoàn toàn</w:t>
            </w:r>
          </w:p>
        </w:tc>
        <w:tc>
          <w:tcPr>
            <w:tcW w:type="dxa" w:w="3175"/>
            <w:vAlign w:val="center"/>
            <w:tcMar>
              <w:top w:w="80" w:type="dxa"/>
              <w:start w:w="120" w:type="dxa"/>
              <w:bottom w:w="80" w:type="dxa"/>
              <w:end w:w="120" w:type="dxa"/>
            </w:tcMar>
          </w:tcPr>
          <w:p>
            <w:pPr>
              <w:spacing w:after="40"/>
            </w:pPr>
            <w:r>
              <w:rPr>
                <w:rFonts w:ascii="Aptos" w:hAnsi="Aptos"/>
                <w:sz w:val="18"/>
              </w:rPr>
              <w:t>Nested LOSO by subject, 4-vs-8 maintenance decoding.</w:t>
            </w:r>
          </w:p>
        </w:tc>
      </w:tr>
      <w:tr>
        <w:trPr>
          <w:cantSplit/>
        </w:trPr>
        <w:tc>
          <w:tcPr>
            <w:tcW w:type="dxa" w:w="3175"/>
            <w:vAlign w:val="center"/>
            <w:tcMar>
              <w:top w:w="80" w:type="dxa"/>
              <w:start w:w="120" w:type="dxa"/>
              <w:bottom w:w="80" w:type="dxa"/>
              <w:end w:w="120" w:type="dxa"/>
            </w:tcMar>
          </w:tcPr>
          <w:p>
            <w:pPr>
              <w:spacing w:after="40"/>
            </w:pPr>
            <w:r>
              <w:rPr>
                <w:rFonts w:ascii="Aptos" w:hAnsi="Aptos"/>
                <w:sz w:val="18"/>
              </w:rPr>
              <w:t>Comparator stack</w:t>
            </w:r>
          </w:p>
        </w:tc>
        <w:tc>
          <w:tcPr>
            <w:tcW w:type="dxa" w:w="3175"/>
            <w:vAlign w:val="center"/>
            <w:tcMar>
              <w:top w:w="80" w:type="dxa"/>
              <w:start w:w="120" w:type="dxa"/>
              <w:bottom w:w="80" w:type="dxa"/>
              <w:end w:w="120" w:type="dxa"/>
            </w:tcMar>
          </w:tcPr>
          <w:p>
            <w:pPr>
              <w:spacing w:after="40"/>
            </w:pPr>
            <w:r>
              <w:rPr>
                <w:rFonts w:ascii="Aptos" w:hAnsi="Aptos"/>
                <w:sz w:val="18"/>
              </w:rPr>
              <w:t>Khớp hoàn toàn</w:t>
            </w:r>
          </w:p>
        </w:tc>
        <w:tc>
          <w:tcPr>
            <w:tcW w:type="dxa" w:w="3175"/>
            <w:vAlign w:val="center"/>
            <w:tcMar>
              <w:top w:w="80" w:type="dxa"/>
              <w:start w:w="120" w:type="dxa"/>
              <w:bottom w:w="80" w:type="dxa"/>
              <w:end w:w="120" w:type="dxa"/>
            </w:tcMar>
          </w:tcPr>
          <w:p>
            <w:pPr>
              <w:spacing w:after="40"/>
            </w:pPr>
            <w:r>
              <w:rPr>
                <w:rFonts w:ascii="Aptos" w:hAnsi="Aptos"/>
                <w:sz w:val="18"/>
              </w:rPr>
              <w:t>A2b, A2c và A2d đều là comparator bắt buộc cho headline claim.</w:t>
            </w:r>
          </w:p>
        </w:tc>
      </w:tr>
      <w:tr>
        <w:trPr>
          <w:cantSplit/>
        </w:trPr>
        <w:tc>
          <w:tcPr>
            <w:tcW w:type="dxa" w:w="3175"/>
            <w:vAlign w:val="center"/>
            <w:tcMar>
              <w:top w:w="80" w:type="dxa"/>
              <w:start w:w="120" w:type="dxa"/>
              <w:bottom w:w="80" w:type="dxa"/>
              <w:end w:w="120" w:type="dxa"/>
            </w:tcMar>
          </w:tcPr>
          <w:p>
            <w:pPr>
              <w:spacing w:after="40"/>
            </w:pPr>
            <w:r>
              <w:rPr>
                <w:rFonts w:ascii="Aptos" w:hAnsi="Aptos"/>
                <w:sz w:val="18"/>
              </w:rPr>
              <w:t>Observability</w:t>
            </w:r>
          </w:p>
        </w:tc>
        <w:tc>
          <w:tcPr>
            <w:tcW w:type="dxa" w:w="3175"/>
            <w:vAlign w:val="center"/>
            <w:tcMar>
              <w:top w:w="80" w:type="dxa"/>
              <w:start w:w="120" w:type="dxa"/>
              <w:bottom w:w="80" w:type="dxa"/>
              <w:end w:w="120" w:type="dxa"/>
            </w:tcMar>
          </w:tcPr>
          <w:p>
            <w:pPr>
              <w:spacing w:after="40"/>
            </w:pPr>
            <w:r>
              <w:rPr>
                <w:rFonts w:ascii="Aptos" w:hAnsi="Aptos"/>
                <w:sz w:val="18"/>
              </w:rPr>
              <w:t>Khớp hoàn toàn</w:t>
            </w:r>
          </w:p>
        </w:tc>
        <w:tc>
          <w:tcPr>
            <w:tcW w:type="dxa" w:w="3175"/>
            <w:vAlign w:val="center"/>
            <w:tcMar>
              <w:top w:w="80" w:type="dxa"/>
              <w:start w:w="120" w:type="dxa"/>
              <w:bottom w:w="80" w:type="dxa"/>
              <w:end w:w="120" w:type="dxa"/>
            </w:tcMar>
          </w:tcPr>
          <w:p>
            <w:pPr>
              <w:spacing w:after="40"/>
            </w:pPr>
            <w:r>
              <w:rPr>
                <w:rFonts w:ascii="Aptos" w:hAnsi="Aptos"/>
                <w:sz w:val="18"/>
              </w:rPr>
              <w:t>Dùng task-contrast observability + control suite, không lùi về Q² đơn thuần.</w:t>
            </w:r>
          </w:p>
        </w:tc>
      </w:tr>
      <w:tr>
        <w:trPr>
          <w:cantSplit/>
        </w:trPr>
        <w:tc>
          <w:tcPr>
            <w:tcW w:type="dxa" w:w="3175"/>
            <w:vAlign w:val="center"/>
            <w:tcMar>
              <w:top w:w="80" w:type="dxa"/>
              <w:start w:w="120" w:type="dxa"/>
              <w:bottom w:w="80" w:type="dxa"/>
              <w:end w:w="120" w:type="dxa"/>
            </w:tcMar>
          </w:tcPr>
          <w:p>
            <w:pPr>
              <w:spacing w:after="40"/>
            </w:pPr>
            <w:r>
              <w:rPr>
                <w:rFonts w:ascii="Aptos" w:hAnsi="Aptos"/>
                <w:sz w:val="18"/>
              </w:rPr>
              <w:t>Transfer gate</w:t>
            </w:r>
          </w:p>
        </w:tc>
        <w:tc>
          <w:tcPr>
            <w:tcW w:type="dxa" w:w="3175"/>
            <w:vAlign w:val="center"/>
            <w:tcMar>
              <w:top w:w="80" w:type="dxa"/>
              <w:start w:w="120" w:type="dxa"/>
              <w:bottom w:w="80" w:type="dxa"/>
              <w:end w:w="120" w:type="dxa"/>
            </w:tcMar>
          </w:tcPr>
          <w:p>
            <w:pPr>
              <w:spacing w:after="40"/>
            </w:pPr>
            <w:r>
              <w:rPr>
                <w:rFonts w:ascii="Aptos" w:hAnsi="Aptos"/>
                <w:sz w:val="18"/>
              </w:rPr>
              <w:t>Khớp hoàn toàn</w:t>
            </w:r>
          </w:p>
        </w:tc>
        <w:tc>
          <w:tcPr>
            <w:tcW w:type="dxa" w:w="3175"/>
            <w:vAlign w:val="center"/>
            <w:tcMar>
              <w:top w:w="80" w:type="dxa"/>
              <w:start w:w="120" w:type="dxa"/>
              <w:bottom w:w="80" w:type="dxa"/>
              <w:end w:w="120" w:type="dxa"/>
            </w:tcMar>
          </w:tcPr>
          <w:p>
            <w:pPr>
              <w:spacing w:after="40"/>
            </w:pPr>
            <w:r>
              <w:rPr>
                <w:rFonts w:ascii="Aptos" w:hAnsi="Aptos"/>
                <w:sz w:val="18"/>
              </w:rPr>
              <w:t>Giữ multiplicative gate, thêm viability states ở mức fold, không softmax hóa gate.</w:t>
            </w:r>
          </w:p>
        </w:tc>
      </w:tr>
      <w:tr>
        <w:trPr>
          <w:cantSplit/>
        </w:trPr>
        <w:tc>
          <w:tcPr>
            <w:tcW w:type="dxa" w:w="3175"/>
            <w:vAlign w:val="center"/>
            <w:tcMar>
              <w:top w:w="80" w:type="dxa"/>
              <w:start w:w="120" w:type="dxa"/>
              <w:bottom w:w="80" w:type="dxa"/>
              <w:end w:w="120" w:type="dxa"/>
            </w:tcMar>
          </w:tcPr>
          <w:p>
            <w:pPr>
              <w:spacing w:after="40"/>
            </w:pPr>
            <w:r>
              <w:rPr>
                <w:rFonts w:ascii="Aptos" w:hAnsi="Aptos"/>
                <w:sz w:val="18"/>
              </w:rPr>
              <w:t>Small-N governance</w:t>
            </w:r>
          </w:p>
        </w:tc>
        <w:tc>
          <w:tcPr>
            <w:tcW w:type="dxa" w:w="3175"/>
            <w:vAlign w:val="center"/>
            <w:tcMar>
              <w:top w:w="80" w:type="dxa"/>
              <w:start w:w="120" w:type="dxa"/>
              <w:bottom w:w="80" w:type="dxa"/>
              <w:end w:w="120" w:type="dxa"/>
            </w:tcMar>
          </w:tcPr>
          <w:p>
            <w:pPr>
              <w:spacing w:after="40"/>
            </w:pPr>
            <w:r>
              <w:rPr>
                <w:rFonts w:ascii="Aptos" w:hAnsi="Aptos"/>
                <w:sz w:val="18"/>
              </w:rPr>
              <w:t>Khớp hoàn toàn</w:t>
            </w:r>
          </w:p>
        </w:tc>
        <w:tc>
          <w:tcPr>
            <w:tcW w:type="dxa" w:w="3175"/>
            <w:vAlign w:val="center"/>
            <w:tcMar>
              <w:top w:w="80" w:type="dxa"/>
              <w:start w:w="120" w:type="dxa"/>
              <w:bottom w:w="80" w:type="dxa"/>
              <w:end w:w="120" w:type="dxa"/>
            </w:tcMar>
          </w:tcPr>
          <w:p>
            <w:pPr>
              <w:spacing w:after="40"/>
            </w:pPr>
            <w:r>
              <w:rPr>
                <w:rFonts w:ascii="Aptos" w:hAnsi="Aptos"/>
                <w:sz w:val="18"/>
              </w:rPr>
              <w:t>Decision simulation, SESOI, influence ceiling rule và claim states A/B/C/D.</w:t>
            </w:r>
          </w:p>
        </w:tc>
      </w:tr>
      <w:tr>
        <w:trPr>
          <w:cantSplit/>
        </w:trPr>
        <w:tc>
          <w:tcPr>
            <w:tcW w:type="dxa" w:w="3175"/>
            <w:vAlign w:val="center"/>
            <w:tcMar>
              <w:top w:w="80" w:type="dxa"/>
              <w:start w:w="120" w:type="dxa"/>
              <w:bottom w:w="80" w:type="dxa"/>
              <w:end w:w="120" w:type="dxa"/>
            </w:tcMar>
          </w:tcPr>
          <w:p>
            <w:pPr>
              <w:spacing w:after="40"/>
            </w:pPr>
            <w:r>
              <w:rPr>
                <w:rFonts w:ascii="Aptos" w:hAnsi="Aptos"/>
                <w:sz w:val="18"/>
              </w:rPr>
              <w:t>Marker governance</w:t>
            </w:r>
          </w:p>
        </w:tc>
        <w:tc>
          <w:tcPr>
            <w:tcW w:type="dxa" w:w="3175"/>
            <w:vAlign w:val="center"/>
            <w:tcMar>
              <w:top w:w="80" w:type="dxa"/>
              <w:start w:w="120" w:type="dxa"/>
              <w:bottom w:w="80" w:type="dxa"/>
              <w:end w:w="120" w:type="dxa"/>
            </w:tcMar>
          </w:tcPr>
          <w:p>
            <w:pPr>
              <w:spacing w:after="40"/>
            </w:pPr>
            <w:r>
              <w:rPr>
                <w:rFonts w:ascii="Aptos" w:hAnsi="Aptos"/>
                <w:sz w:val="18"/>
              </w:rPr>
              <w:t>Khớp hoàn toàn</w:t>
            </w:r>
          </w:p>
        </w:tc>
        <w:tc>
          <w:tcPr>
            <w:tcW w:type="dxa" w:w="3175"/>
            <w:vAlign w:val="center"/>
            <w:tcMar>
              <w:top w:w="80" w:type="dxa"/>
              <w:start w:w="120" w:type="dxa"/>
              <w:bottom w:w="80" w:type="dxa"/>
              <w:end w:w="120" w:type="dxa"/>
            </w:tcMar>
          </w:tcPr>
          <w:p>
            <w:pPr>
              <w:spacing w:after="40"/>
            </w:pPr>
            <w:r>
              <w:rPr>
                <w:rFonts w:ascii="Aptos" w:hAnsi="Aptos"/>
                <w:sz w:val="18"/>
              </w:rPr>
              <w:t>Group C dùng jitter_ratio làm hard gate, ms thresholds chỉ còn là diagnostic landmarks.</w:t>
            </w:r>
          </w:p>
        </w:tc>
      </w:tr>
      <w:tr>
        <w:trPr>
          <w:cantSplit/>
        </w:trPr>
        <w:tc>
          <w:tcPr>
            <w:tcW w:type="dxa" w:w="3175"/>
            <w:vAlign w:val="center"/>
            <w:tcMar>
              <w:top w:w="80" w:type="dxa"/>
              <w:start w:w="120" w:type="dxa"/>
              <w:bottom w:w="80" w:type="dxa"/>
              <w:end w:w="120" w:type="dxa"/>
            </w:tcMar>
          </w:tcPr>
          <w:p>
            <w:pPr>
              <w:spacing w:after="40"/>
            </w:pPr>
            <w:r>
              <w:rPr>
                <w:rFonts w:ascii="Aptos" w:hAnsi="Aptos"/>
                <w:sz w:val="18"/>
              </w:rPr>
              <w:t>Bridge module</w:t>
            </w:r>
          </w:p>
        </w:tc>
        <w:tc>
          <w:tcPr>
            <w:tcW w:type="dxa" w:w="3175"/>
            <w:vAlign w:val="center"/>
            <w:tcMar>
              <w:top w:w="80" w:type="dxa"/>
              <w:start w:w="120" w:type="dxa"/>
              <w:bottom w:w="80" w:type="dxa"/>
              <w:end w:w="120" w:type="dxa"/>
            </w:tcMar>
          </w:tcPr>
          <w:p>
            <w:pPr>
              <w:spacing w:after="40"/>
            </w:pPr>
            <w:r>
              <w:rPr>
                <w:rFonts w:ascii="Aptos" w:hAnsi="Aptos"/>
                <w:sz w:val="18"/>
              </w:rPr>
              <w:t>Khớp hoàn toàn</w:t>
            </w:r>
          </w:p>
        </w:tc>
        <w:tc>
          <w:tcPr>
            <w:tcW w:type="dxa" w:w="3175"/>
            <w:vAlign w:val="center"/>
            <w:tcMar>
              <w:top w:w="80" w:type="dxa"/>
              <w:start w:w="120" w:type="dxa"/>
              <w:bottom w:w="80" w:type="dxa"/>
              <w:end w:w="120" w:type="dxa"/>
            </w:tcMar>
          </w:tcPr>
          <w:p>
            <w:pPr>
              <w:spacing w:after="40"/>
            </w:pPr>
            <w:r>
              <w:rPr>
                <w:rFonts w:ascii="Aptos" w:hAnsi="Aptos"/>
                <w:sz w:val="18"/>
              </w:rPr>
              <w:t>Sentinel-first, deterministic selection, null bridge effect acceptable.</w:t>
            </w:r>
          </w:p>
        </w:tc>
      </w:tr>
      <w:tr>
        <w:trPr>
          <w:cantSplit/>
        </w:trPr>
        <w:tc>
          <w:tcPr>
            <w:tcW w:type="dxa" w:w="3175"/>
            <w:vAlign w:val="center"/>
            <w:tcMar>
              <w:top w:w="80" w:type="dxa"/>
              <w:start w:w="120" w:type="dxa"/>
              <w:bottom w:w="80" w:type="dxa"/>
              <w:end w:w="120" w:type="dxa"/>
            </w:tcMar>
          </w:tcPr>
          <w:p>
            <w:pPr>
              <w:spacing w:after="40"/>
            </w:pPr>
            <w:r>
              <w:rPr>
                <w:rFonts w:ascii="Aptos" w:hAnsi="Aptos"/>
                <w:sz w:val="18"/>
              </w:rPr>
              <w:t>Prereg and release discipline</w:t>
            </w:r>
          </w:p>
        </w:tc>
        <w:tc>
          <w:tcPr>
            <w:tcW w:type="dxa" w:w="3175"/>
            <w:vAlign w:val="center"/>
            <w:tcMar>
              <w:top w:w="80" w:type="dxa"/>
              <w:start w:w="120" w:type="dxa"/>
              <w:bottom w:w="80" w:type="dxa"/>
              <w:end w:w="120" w:type="dxa"/>
            </w:tcMar>
          </w:tcPr>
          <w:p>
            <w:pPr>
              <w:spacing w:after="40"/>
            </w:pPr>
            <w:r>
              <w:rPr>
                <w:rFonts w:ascii="Aptos" w:hAnsi="Aptos"/>
                <w:sz w:val="18"/>
              </w:rPr>
              <w:t>Khớp hoàn toàn</w:t>
            </w:r>
          </w:p>
        </w:tc>
        <w:tc>
          <w:tcPr>
            <w:tcW w:type="dxa" w:w="3175"/>
            <w:vAlign w:val="center"/>
            <w:tcMar>
              <w:top w:w="80" w:type="dxa"/>
              <w:start w:w="120" w:type="dxa"/>
              <w:bottom w:w="80" w:type="dxa"/>
              <w:end w:w="120" w:type="dxa"/>
            </w:tcMar>
          </w:tcPr>
          <w:p>
            <w:pPr>
              <w:spacing w:after="40"/>
            </w:pPr>
            <w:r>
              <w:rPr>
                <w:rFonts w:ascii="Aptos" w:hAnsi="Aptos"/>
                <w:sz w:val="18"/>
              </w:rPr>
              <w:t>Gate 2.5 chặn substantive runs nếu thiếu prereg bundle.</w:t>
            </w:r>
          </w:p>
        </w:tc>
      </w:tr>
    </w:tbl>
    <w:p>
      <w:pPr/>
      <w:r>
        <w:t>Bất kỳ sai khác nào giữa proposal và technical specification sau thời điểm khóa bản này phải được ghi vào revision log; technical specification vẫn là nguồn quyết định cuối cùng cho execution rules.</w:t>
      </w:r>
    </w:p>
    <w:sectPr w:rsidR="00FC693F" w:rsidRPr="0006063C" w:rsidSect="00034616">
      <w:footerReference w:type="default" r:id="rId9"/>
      <w:pgSz w:w="11906" w:h="16838"/>
      <w:pgMar w:top="1191" w:right="1134" w:bottom="1134" w:left="1247"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5656"/>
        <w:sz w:val="16"/>
      </w:rPr>
      <w:t>V5.5 Integrated Proposal | Observability-Constrained Privileged Transfer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pPr>
      <w:spacing w:after="40"/>
    </w:pPr>
    <w:rPr>
      <w:rFonts w:ascii="Aptos" w:hAnsi="Aptos" w:eastAsia="Aptos"/>
      <w:b/>
      <w:color w:val="1B365D"/>
      <w:sz w:val="44"/>
    </w:rPr>
  </w:style>
  <w:style w:type="paragraph" w:customStyle="1" w:styleId="SubtitleCustom">
    <w:name w:val="SubtitleCustom"/>
    <w:basedOn w:val="Subtitle"/>
    <w:pPr>
      <w:spacing w:after="160"/>
    </w:pPr>
    <w:rPr>
      <w:rFonts w:ascii="Aptos" w:hAnsi="Aptos" w:eastAsia="Aptos"/>
      <w:b w:val="0"/>
      <w:color w:val="565656"/>
      <w:sz w:val="24"/>
    </w:rPr>
  </w:style>
  <w:style w:type="paragraph" w:customStyle="1" w:styleId="H1Custom">
    <w:name w:val="H1Custom"/>
    <w:basedOn w:val="Heading1"/>
    <w:pPr>
      <w:keepNext/>
      <w:spacing w:before="200" w:after="80"/>
    </w:pPr>
    <w:rPr>
      <w:rFonts w:ascii="Aptos" w:hAnsi="Aptos" w:eastAsia="Aptos"/>
      <w:b/>
      <w:color w:val="1B365D"/>
      <w:sz w:val="30"/>
    </w:rPr>
  </w:style>
  <w:style w:type="paragraph" w:customStyle="1" w:styleId="H2Custom">
    <w:name w:val="H2Custom"/>
    <w:basedOn w:val="Heading2"/>
    <w:pPr>
      <w:keepNext/>
      <w:spacing w:before="200" w:after="80"/>
    </w:pPr>
    <w:rPr>
      <w:rFonts w:ascii="Aptos" w:hAnsi="Aptos" w:eastAsia="Aptos"/>
      <w:b/>
      <w:color w:val="19606A"/>
      <w:sz w:val="25"/>
    </w:rPr>
  </w:style>
  <w:style w:type="paragraph" w:customStyle="1" w:styleId="H3Custom">
    <w:name w:val="H3Custom"/>
    <w:basedOn w:val="Heading3"/>
    <w:pPr>
      <w:keepNext/>
      <w:spacing w:before="200" w:after="80"/>
    </w:pPr>
    <w:rPr>
      <w:rFonts w:ascii="Aptos" w:hAnsi="Aptos" w:eastAsia="Aptos"/>
      <w:b/>
      <w:color w:val="1B365D"/>
      <w:sz w:val="23"/>
    </w:rPr>
  </w:style>
  <w:style w:type="paragraph" w:customStyle="1" w:styleId="SmallCapsCustom">
    <w:name w:val="SmallCapsCustom"/>
    <w:basedOn w:val="Normal"/>
    <w:rPr>
      <w:rFonts w:ascii="Aptos" w:hAnsi="Aptos" w:eastAsia="Aptos"/>
      <w:b/>
      <w:smallCaps/>
      <w:color w:val="56565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