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CE98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25330F28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21C907D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2639651A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2865267F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6ECE5C31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35978C8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FB66D95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B751A8F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AC7389A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1FA813A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850436B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714C59A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EAC7997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19B3B4C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406192D1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0D144555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41AABF7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4CF55A9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363B44D3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22ABF3CA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54028115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60723CF1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 w14:paraId="77F51577" w14:textId="77777777" w:rsidR="00FF0930" w:rsidRDefault="00FF0930">
      <w:pPr>
        <w:pStyle w:val="Title"/>
        <w:jc w:val="center"/>
        <w:rPr>
          <w:b/>
          <w:color w:val="1F4E79"/>
          <w:sz w:val="44"/>
        </w:rPr>
      </w:pPr>
    </w:p>
    <w:p>
      <w:pPr>
        <w:pStyle w:val="Title"/>
        <w:jc w:val="center"/>
      </w:pPr>
      <w:r>
        <w:t>FDM FORWARD DEPLOYED AI ENGINEER</w:t>
      </w:r>
    </w:p>
    <w:p>
      <w:pPr>
        <w:jc w:val="center"/>
      </w:pPr>
      <w:r>
        <w:rPr>
          <w:b/>
          <w:sz w:val="24"/>
        </w:rPr>
        <w:t>Week 2 | Exercise 2</w:t>
      </w:r>
    </w:p>
    <w:p>
      <w:pPr>
        <w:jc w:val="center"/>
      </w:pPr>
      <w:r>
        <w:rPr>
          <w:b/>
          <w:color w:val="1F4E79"/>
          <w:sz w:val="40"/>
        </w:rPr>
        <w:t>Query Complaint Data</w:t>
      </w:r>
    </w:p>
    <w:p>
      <w:pPr>
        <w:jc w:val="center"/>
      </w:pPr>
      <w:r>
        <w:rPr>
          <w:i/>
        </w:rPr>
        <w:t>Time Required: 1 hour 30 minutes</w:t>
      </w:r>
    </w:p>
    <w:p>
      <w:pPr>
        <w:spacing w:after="80"/>
      </w:pPr>
      <w:r>
        <w:rPr>
          <w:i w:val="0"/>
        </w:rPr>
        <w:t>Use SQL to answer precise operational questions against the database created in 2.1.1.</w:t>
      </w:r>
    </w:p>
    <w:p>
      <w:pPr>
        <w:pStyle w:val="Heading1"/>
      </w:pPr>
      <w:r>
        <w:t>Where This Exercise Fits</w:t>
      </w:r>
    </w:p>
    <w:p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</w:rPr>
              <w:t xml:space="preserve">Project connection: </w:t>
            </w:r>
            <w:r>
              <w:t>These queries establish the principle that exact counts, filters and calculations belong in structured retrieval.</w:t>
            </w:r>
          </w:p>
        </w:tc>
      </w:tr>
    </w:tbl>
    <w:p>
      <w:pPr>
        <w:pStyle w:val="Heading1"/>
      </w:pPr>
      <w:r>
        <w:t>Scenario</w:t>
      </w:r>
    </w:p>
    <w:p>
      <w:pPr>
        <w:spacing w:after="80"/>
      </w:pPr>
      <w:r>
        <w:rPr>
          <w:i w:val="0"/>
        </w:rPr>
        <w:t>Analysts need repeatable answers about open cases, priorities, categories, customers and recent activity.</w:t>
      </w:r>
    </w:p>
    <w:p>
      <w:pPr>
        <w:pStyle w:val="Heading1"/>
      </w:pPr>
      <w:r>
        <w:t>Learning Outcomes</w:t>
      </w:r>
    </w:p>
    <w:p>
      <w:pPr>
        <w:spacing w:after="50"/>
        <w:ind w:left="403" w:hanging="259"/>
      </w:pPr>
      <w:r>
        <w:t>• Apply the relevant SQL or Python technique to a realistic complaint operation.</w:t>
      </w:r>
    </w:p>
    <w:p>
      <w:pPr>
        <w:spacing w:after="50"/>
        <w:ind w:left="403" w:hanging="259"/>
      </w:pPr>
      <w:r>
        <w:t>• Produce executable, reviewable evidence.</w:t>
      </w:r>
    </w:p>
    <w:p>
      <w:pPr>
        <w:spacing w:after="50"/>
        <w:ind w:left="403" w:hanging="259"/>
      </w:pPr>
      <w:r>
        <w:t>• Preserve the artifact for later API and agent work.</w:t>
      </w:r>
    </w:p>
    <w:p>
      <w:pPr>
        <w:pStyle w:val="Heading1"/>
      </w:pPr>
      <w:r>
        <w:t>Prerequisites and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8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1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5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How it is used</w:t>
            </w:r>
          </w:p>
        </w:tc>
        <w:tc>
          <w:tcPr>
            <w:tcW w:type="dxa" w:w="9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Database from 2.1.1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Created in previous exercise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Primary working database.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basic_query_questions.md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Week 2 resources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Lists required business questions.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starter_database.sql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Coach recovery asset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only if 2.1.1 recovery is approved.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Conditional</w:t>
            </w:r>
          </w:p>
        </w:tc>
      </w:tr>
    </w:tbl>
    <w:p>
      <w:pPr>
        <w:pStyle w:val="Heading1"/>
      </w:pPr>
      <w:r>
        <w:t>Before You Start</w:t>
      </w:r>
    </w:p>
    <w:p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>
      <w:pPr>
        <w:pStyle w:val="Heading1"/>
      </w:pPr>
      <w:r>
        <w:t>Exercise Requirements</w:t>
      </w:r>
    </w:p>
    <w:p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>
      <w:pPr>
        <w:pStyle w:val="Heading2"/>
      </w:pPr>
      <w:r>
        <w:t>Step 1 — Explore the database (15 minutes)</w:t>
      </w:r>
    </w:p>
    <w:p>
      <w:pPr>
        <w:spacing w:after="80"/>
      </w:pPr>
      <w:r>
        <w:rPr>
          <w:i w:val="0"/>
        </w:rPr>
        <w:t>Inspect tables, counts, data types and null patterns.</w:t>
      </w:r>
    </w:p>
    <w:p>
      <w:pPr>
        <w:spacing w:after="50"/>
        <w:ind w:left="403" w:hanging="259"/>
      </w:pPr>
      <w:r>
        <w:t>• Record observations and unexpected data.</w:t>
      </w:r>
    </w:p>
    <w:p>
      <w:pPr>
        <w:spacing w:after="80"/>
      </w:pPr>
      <w:r>
        <w:rPr>
          <w:b/>
        </w:rPr>
        <w:t xml:space="preserve">Required evidence: </w:t>
      </w:r>
      <w:r>
        <w:t>query_exploration.md.</w:t>
      </w:r>
    </w:p>
    <w:p>
      <w:pPr>
        <w:pStyle w:val="Heading2"/>
      </w:pPr>
      <w:r>
        <w:t>Step 2 — Write queries (45 minutes)</w:t>
      </w:r>
    </w:p>
    <w:p>
      <w:pPr>
        <w:spacing w:after="80"/>
      </w:pPr>
      <w:r>
        <w:rPr>
          <w:i w:val="0"/>
        </w:rPr>
        <w:t>Answer every required question.</w:t>
      </w:r>
    </w:p>
    <w:p>
      <w:pPr>
        <w:spacing w:after="50"/>
        <w:ind w:left="403" w:hanging="259"/>
      </w:pPr>
      <w:r>
        <w:t>• Use explicit columns, aliases and readable formatting.</w:t>
      </w:r>
    </w:p>
    <w:p>
      <w:pPr>
        <w:spacing w:after="50"/>
        <w:ind w:left="403" w:hanging="259"/>
      </w:pPr>
      <w:r>
        <w:t>• Use parameters/placeholders where user-supplied values are expected.</w:t>
      </w:r>
    </w:p>
    <w:p>
      <w:pPr>
        <w:spacing w:after="80"/>
      </w:pPr>
      <w:r>
        <w:rPr>
          <w:b/>
        </w:rPr>
        <w:t xml:space="preserve">Required evidence: </w:t>
      </w:r>
      <w:r>
        <w:t>basic_queries.sql.</w:t>
      </w:r>
    </w:p>
    <w:p>
      <w:pPr>
        <w:pStyle w:val="Heading2"/>
      </w:pPr>
      <w:r>
        <w:t>Step 3 — Validate results (20 minutes)</w:t>
      </w:r>
    </w:p>
    <w:p>
      <w:pPr>
        <w:spacing w:after="80"/>
      </w:pPr>
      <w:r>
        <w:rPr>
          <w:i w:val="0"/>
        </w:rPr>
        <w:t>Run queries and compare expected checks.</w:t>
      </w:r>
    </w:p>
    <w:p>
      <w:pPr>
        <w:spacing w:after="50"/>
        <w:ind w:left="403" w:hanging="259"/>
      </w:pPr>
      <w:r>
        <w:t>• Investigate mismatches rather than editing output.</w:t>
      </w:r>
    </w:p>
    <w:p>
      <w:pPr>
        <w:spacing w:after="50"/>
        <w:ind w:left="403" w:hanging="259"/>
      </w:pPr>
      <w:r>
        <w:t>• Export representative results.</w:t>
      </w:r>
    </w:p>
    <w:p>
      <w:pPr>
        <w:spacing w:after="80"/>
      </w:pPr>
      <w:r>
        <w:rPr>
          <w:b/>
        </w:rPr>
        <w:t xml:space="preserve">Required evidence: </w:t>
      </w:r>
      <w:r>
        <w:t>basic_query_results.csv.</w:t>
      </w:r>
    </w:p>
    <w:p>
      <w:pPr>
        <w:pStyle w:val="Heading2"/>
      </w:pPr>
      <w:r>
        <w:t>Step 4 — Document choices (10 minutes)</w:t>
      </w:r>
    </w:p>
    <w:p>
      <w:pPr>
        <w:spacing w:after="80"/>
      </w:pPr>
      <w:r>
        <w:rPr>
          <w:i w:val="0"/>
        </w:rPr>
        <w:t>Explain one filter, one date condition and one null-handling choice.</w:t>
      </w:r>
    </w:p>
    <w:p>
      <w:pPr>
        <w:spacing w:after="50"/>
        <w:ind w:left="403" w:hanging="259"/>
      </w:pPr>
      <w:r>
        <w:t>• Record any dialect-specific syntax.</w:t>
      </w:r>
    </w:p>
    <w:p>
      <w:pPr>
        <w:spacing w:after="80"/>
      </w:pPr>
      <w:r>
        <w:rPr>
          <w:b/>
        </w:rPr>
        <w:t xml:space="preserve">Required evidence: </w:t>
      </w:r>
      <w:r>
        <w:t>query_notes.md.</w:t>
      </w:r>
    </w:p>
    <w:p>
      <w:pPr>
        <w:pStyle w:val="Heading1"/>
      </w:pPr>
      <w:r>
        <w:t>Expected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04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612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What it must contain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basic_queries.sql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All required executable queries.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basic_query_results.csv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Representative validated outputs.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query_exploration.md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Initial counts/null observations.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query_notes.md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SQL reasoning and issues.</w:t>
            </w:r>
          </w:p>
        </w:tc>
      </w:tr>
    </w:tbl>
    <w:p>
      <w:pPr>
        <w:pStyle w:val="Heading1"/>
      </w:pPr>
      <w:r>
        <w:t>What Good Looks Like</w:t>
      </w:r>
    </w:p>
    <w:p>
      <w:pPr>
        <w:spacing w:after="50"/>
        <w:ind w:left="403" w:hanging="259"/>
      </w:pPr>
      <w:r>
        <w:t>• The output is executable and another consultant can reproduce it.</w:t>
      </w:r>
    </w:p>
    <w:p>
      <w:pPr>
        <w:spacing w:after="50"/>
        <w:ind w:left="403" w:hanging="259"/>
      </w:pPr>
      <w:r>
        <w:t>• Business meaning and technical behavior are both explained.</w:t>
      </w:r>
    </w:p>
    <w:p>
      <w:pPr>
        <w:spacing w:after="50"/>
        <w:ind w:left="403" w:hanging="259"/>
      </w:pPr>
      <w:r>
        <w:t>• Negative or boundary behavior is tested.</w:t>
      </w:r>
    </w:p>
    <w:p>
      <w:pPr>
        <w:pStyle w:val="Heading1"/>
      </w:pPr>
      <w:r>
        <w:t>Common Mistakes to Avoid</w:t>
      </w:r>
    </w:p>
    <w:p>
      <w:pPr>
        <w:spacing w:after="50"/>
        <w:ind w:left="403" w:hanging="259"/>
      </w:pPr>
      <w:r>
        <w:t>• Submitting screenshots without executable files.</w:t>
      </w:r>
    </w:p>
    <w:p>
      <w:pPr>
        <w:spacing w:after="50"/>
        <w:ind w:left="403" w:hanging="259"/>
      </w:pPr>
      <w:r>
        <w:t>• Changing prior contracts without updating the source specification.</w:t>
      </w:r>
    </w:p>
    <w:p>
      <w:pPr>
        <w:spacing w:after="50"/>
        <w:ind w:left="403" w:hanging="259"/>
      </w:pPr>
      <w:r>
        <w:t>• Ignoring errors, nulls or data-integrity behavior.</w:t>
      </w:r>
    </w:p>
    <w:p>
      <w:pPr>
        <w:pStyle w:val="Heading1"/>
      </w:pPr>
      <w:r>
        <w:t>Definition of Done</w:t>
      </w:r>
    </w:p>
    <w:p>
      <w:pPr>
        <w:spacing w:after="50"/>
        <w:ind w:left="403" w:hanging="259"/>
      </w:pPr>
      <w:r>
        <w:t>• Every named deliverable exists.</w:t>
      </w:r>
    </w:p>
    <w:p>
      <w:pPr>
        <w:spacing w:after="50"/>
        <w:ind w:left="403" w:hanging="259"/>
      </w:pPr>
      <w:r>
        <w:t>• Required checks pass.</w:t>
      </w:r>
    </w:p>
    <w:p>
      <w:pPr>
        <w:spacing w:after="50"/>
        <w:ind w:left="403" w:hanging="259"/>
      </w:pPr>
      <w:r>
        <w:t>• Known limitations are documented.</w:t>
      </w:r>
    </w:p>
    <w:p>
      <w:pPr>
        <w:spacing w:after="50"/>
        <w:ind w:left="403" w:hanging="259"/>
      </w:pPr>
      <w:r>
        <w:t>• The handover artifact is ready for the next exercise.</w:t>
      </w:r>
    </w:p>
    <w:p>
      <w:pPr>
        <w:pStyle w:val="Heading1"/>
      </w:pPr>
      <w:r>
        <w:t>Submission Method</w:t>
      </w:r>
    </w:p>
    <w:p>
      <w:pPr>
        <w:spacing w:after="50"/>
        <w:ind w:left="403" w:hanging="259"/>
      </w:pPr>
      <w:r>
        <w:t>• Create or update every named artifact in the project repository on a feature branch.</w:t>
      </w:r>
    </w:p>
    <w:p>
      <w:pPr>
        <w:spacing w:after="50"/>
        <w:ind w:left="403" w:hanging="259"/>
      </w:pPr>
      <w:r>
        <w:t>• Use the pull-request title: [Consultant name] Query Complaint Data (Week 2).</w:t>
      </w:r>
    </w:p>
    <w:p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>
      <w:pPr>
        <w:spacing w:after="50"/>
        <w:ind w:left="403" w:hanging="259"/>
      </w:pPr>
      <w:r>
        <w:t>• Tag the coach and do not merge until the review is complete.</w:t>
      </w:r>
    </w:p>
    <w:p>
      <w:pPr>
        <w:pStyle w:val="Heading1"/>
      </w:pPr>
      <w:r>
        <w:t>Dependency Handover</w:t>
      </w:r>
    </w:p>
    <w:p>
      <w:pPr>
        <w:spacing w:after="80"/>
      </w:pPr>
      <w:r>
        <w:rPr>
          <w:i w:val="0"/>
        </w:rPr>
        <w:t>Exercise 2.2.1 uses the same table and field names to build joins.</w:t>
      </w:r>
    </w:p>
    <w:p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926B9E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1CA1" w14:textId="77777777" w:rsidR="004C0E0F" w:rsidRDefault="004C0E0F" w:rsidP="00452E00">
      <w:r>
        <w:separator/>
      </w:r>
    </w:p>
  </w:endnote>
  <w:endnote w:type="continuationSeparator" w:id="0">
    <w:p w14:paraId="66997883" w14:textId="77777777" w:rsidR="004C0E0F" w:rsidRDefault="004C0E0F" w:rsidP="0045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842B2F" w14:textId="77777777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799F31" w14:textId="77777777" w:rsidR="00810502" w:rsidRDefault="00810502" w:rsidP="008105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5571CC" w14:textId="1A1A1AAA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14:paraId="758E610C" w14:textId="77777777" w:rsidTr="00A41D4D">
      <w:tc>
        <w:tcPr>
          <w:tcW w:w="2689" w:type="dxa"/>
          <w:vAlign w:val="bottom"/>
        </w:tcPr>
        <w:p w14:paraId="74FBA8F9" w14:textId="77777777" w:rsidR="00663546" w:rsidRDefault="00663546" w:rsidP="00810502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14:paraId="722E0EA7" w14:textId="77777777" w:rsidR="00663546" w:rsidRDefault="00663546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4D8A" w14:textId="77777777" w:rsidR="004C0E0F" w:rsidRDefault="004C0E0F" w:rsidP="00452E00">
      <w:r>
        <w:separator/>
      </w:r>
    </w:p>
  </w:footnote>
  <w:footnote w:type="continuationSeparator" w:id="0">
    <w:p w14:paraId="18B49280" w14:textId="77777777" w:rsidR="004C0E0F" w:rsidRDefault="004C0E0F" w:rsidP="0045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B59C" w14:textId="77777777" w:rsidR="00663546" w:rsidRDefault="000268AE" w:rsidP="00183BBD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3546" w:rsidRPr="002E561B">
      <w:rPr>
        <w:noProof/>
      </w:rPr>
      <w:t xml:space="preserve"> </w:t>
    </w:r>
  </w:p>
  <w:p w14:paraId="5768E495" w14:textId="77777777" w:rsidR="00437499" w:rsidRDefault="00437499" w:rsidP="00437499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5F73" w14:textId="77777777" w:rsidR="00896CEF" w:rsidRPr="00663546" w:rsidRDefault="00AA0485" w:rsidP="00663546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3573F" id="Rectangle 5" o:spid="_x0000_s1026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A4829"/>
    <w:rsid w:val="004C0E0F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26B9E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0930"/>
    <w:rsid w:val="00F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eastAsiaTheme="majorEastAsia" w:hAnsi="Aptos Display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eastAsiaTheme="majorEastAsia" w:cs="DokChampa (Headings CS)" w:ascii="Aptos Display" w:hAnsi="Aptos Display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46"/>
    <w:rPr>
      <w:rFonts w:ascii="Impact" w:eastAsiaTheme="majorEastAsia" w:hAnsi="Impact" w:cstheme="majorBidi"/>
      <w:color w:val="1E1E1E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861"/>
    <w:rPr>
      <w:rFonts w:ascii="Inter" w:eastAsiaTheme="majorEastAsia" w:hAnsi="Inter" w:cs="DokChampa (Headings CS)"/>
      <w:b/>
      <w:color w:val="1E1E1E" w:themeColor="text1"/>
      <w:spacing w:val="-2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0369A"/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369A"/>
    <w:rPr>
      <w:rFonts w:asciiTheme="majorHAnsi" w:eastAsiaTheme="majorEastAsia" w:hAnsiTheme="majorHAnsi" w:cstheme="majorBidi"/>
      <w:color w:val="7700F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0369A"/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B0369A"/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0369A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eastAsiaTheme="majorEastAsia" w:hAnsi="Aptos Display" w:cs="DokChampa (Headings CS)"/>
      <w:b/>
      <w:color w:val="1F4E79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2F7E9B"/>
    <w:rPr>
      <w:rFonts w:ascii="Impact" w:eastAsiaTheme="majorEastAsia" w:hAnsi="Impact" w:cs="DokChampa (Headings CS)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sz="4" w:space="10" w:color="A34CFF" w:themeColor="accent1"/>
        <w:bottom w:val="single" w:sz="4" w:space="10" w:color="A34CFF" w:themeColor="accent1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customStyle="1" w:styleId="Subtitle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customStyle="1" w:styleId="Body">
    <w:name w:val="Body"/>
    <w:basedOn w:val="Normal"/>
    <w:qFormat/>
    <w:rsid w:val="00C44A40"/>
  </w:style>
  <w:style w:type="paragraph" w:customStyle="1" w:styleId="Subheading1">
    <w:name w:val="Subheading 1"/>
    <w:basedOn w:val="Body"/>
    <w:qFormat/>
    <w:rsid w:val="002C2306"/>
    <w:rPr>
      <w:rFonts w:ascii="Impact" w:hAnsi="Impact"/>
      <w:sz w:val="32"/>
    </w:rPr>
  </w:style>
  <w:style w:type="paragraph" w:customStyle="1" w:styleId="BodySubheading2">
    <w:name w:val="Body Subheading 2"/>
    <w:basedOn w:val="Body"/>
    <w:qFormat/>
    <w:rsid w:val="00790E49"/>
    <w:rPr>
      <w:b/>
    </w:rPr>
  </w:style>
  <w:style w:type="paragraph" w:customStyle="1" w:styleId="BodyBold">
    <w:name w:val="Body Bold"/>
    <w:basedOn w:val="BodySubheading2"/>
    <w:qFormat/>
    <w:rsid w:val="00980879"/>
  </w:style>
  <w:style w:type="paragraph" w:customStyle="1" w:styleId="BodySubheading1">
    <w:name w:val="Body Subheading 1"/>
    <w:basedOn w:val="BodySubheading2"/>
    <w:qFormat/>
    <w:rsid w:val="00EA590A"/>
    <w:rPr>
      <w:sz w:val="24"/>
    </w:rPr>
  </w:style>
  <w:style w:type="paragraph" w:customStyle="1" w:styleId="BodyItalics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66A86E5A-AD6C-4CB0-B9B5-703580915276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FDM_DocTemplate_A4_Print_White</Template>
  <TotalTime>43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Mayank Arora</cp:lastModifiedBy>
  <cp:revision>21</cp:revision>
  <dcterms:created xsi:type="dcterms:W3CDTF">2024-05-16T17:27:00Z</dcterms:created>
  <dcterms:modified xsi:type="dcterms:W3CDTF">2026-10-02T19:58:00Z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