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5716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67A9C375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33125B8A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7B6D26DA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17636BFF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6BB6848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4FEB1E33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3306FB90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0E6541D8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3B286DD7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4AEAC4F6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4152BF86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3DC79192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6622630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595C814C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42EC1C04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B8B6F68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1C694194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8C88B2D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212E6E8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5765E1C0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5B3EE6CE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24C5B551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 w14:paraId="05847732" w14:textId="77777777" w:rsidR="00AC38A3" w:rsidRDefault="00AC38A3">
      <w:pPr>
        <w:pStyle w:val="Title"/>
        <w:jc w:val="center"/>
        <w:rPr>
          <w:b/>
          <w:color w:val="1F4E79"/>
          <w:sz w:val="44"/>
        </w:rPr>
      </w:pPr>
    </w:p>
    <w:p>
      <w:pPr>
        <w:pStyle w:val="Title"/>
        <w:jc w:val="center"/>
      </w:pPr>
      <w:r>
        <w:t>FDM FORWARD DEPLOYED AI ENGINEER</w:t>
      </w:r>
    </w:p>
    <w:p>
      <w:pPr>
        <w:jc w:val="center"/>
      </w:pPr>
      <w:r>
        <w:rPr>
          <w:b/>
          <w:sz w:val="24"/>
        </w:rPr>
        <w:t>Week 2 | Exercise 3</w:t>
      </w:r>
    </w:p>
    <w:p>
      <w:pPr>
        <w:jc w:val="center"/>
      </w:pPr>
      <w:r>
        <w:rPr>
          <w:b/>
          <w:color w:val="1F4E79"/>
          <w:sz w:val="40"/>
        </w:rPr>
        <w:t>Join Customer, Account and Complaint Context</w:t>
      </w:r>
    </w:p>
    <w:p>
      <w:pPr>
        <w:jc w:val="center"/>
      </w:pPr>
      <w:r>
        <w:rPr>
          <w:i/>
        </w:rPr>
        <w:t>Time Required: 1 hour 30 minutes</w:t>
      </w:r>
    </w:p>
    <w:p>
      <w:pPr>
        <w:spacing w:after="80"/>
      </w:pPr>
      <w:r>
        <w:rPr>
          <w:i w:val="0"/>
        </w:rPr>
        <w:t>Combine related entities without losing complaints or creating unintended duplicates.</w:t>
      </w:r>
    </w:p>
    <w:p>
      <w:pPr>
        <w:pStyle w:val="Heading1"/>
      </w:pPr>
      <w:r>
        <w:t>Where This Exercise Fits</w:t>
      </w:r>
    </w:p>
    <w:p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</w:rPr>
              <w:t xml:space="preserve">Project connection: </w:t>
            </w:r>
            <w:r>
              <w:t>The reusable analyst view becomes the basis for complaint metrics.</w:t>
            </w:r>
          </w:p>
        </w:tc>
      </w:tr>
    </w:tbl>
    <w:p>
      <w:pPr>
        <w:pStyle w:val="Heading1"/>
      </w:pPr>
      <w:r>
        <w:t>Scenario</w:t>
      </w:r>
    </w:p>
    <w:p>
      <w:pPr>
        <w:spacing w:after="80"/>
      </w:pPr>
      <w:r>
        <w:rPr>
          <w:i w:val="0"/>
        </w:rPr>
        <w:t>Some complaints have no related account, while customers may have many accounts and complaints. The join strategy must preserve the intended complaint grain.</w:t>
      </w:r>
    </w:p>
    <w:p>
      <w:pPr>
        <w:pStyle w:val="Heading1"/>
      </w:pPr>
      <w:r>
        <w:t>Learning Outcomes</w:t>
      </w:r>
    </w:p>
    <w:p>
      <w:pPr>
        <w:spacing w:after="50"/>
        <w:ind w:left="403" w:hanging="259"/>
      </w:pPr>
      <w:r>
        <w:t>• Apply the relevant SQL or Python technique to a realistic complaint operation.</w:t>
      </w:r>
    </w:p>
    <w:p>
      <w:pPr>
        <w:spacing w:after="50"/>
        <w:ind w:left="403" w:hanging="259"/>
      </w:pPr>
      <w:r>
        <w:t>• Produce executable, reviewable evidence.</w:t>
      </w:r>
    </w:p>
    <w:p>
      <w:pPr>
        <w:spacing w:after="50"/>
        <w:ind w:left="403" w:hanging="259"/>
      </w:pPr>
      <w:r>
        <w:t>• Preserve the artifact for later API and agent work.</w:t>
      </w:r>
    </w:p>
    <w:p>
      <w:pPr>
        <w:pStyle w:val="Heading1"/>
      </w:pPr>
      <w:r>
        <w:t>Prerequisites and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8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1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5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How it is used</w:t>
            </w:r>
          </w:p>
        </w:tc>
        <w:tc>
          <w:tcPr>
            <w:tcW w:type="dxa" w:w="9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Database and basic queries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Created in 2.1.1–2.1.2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 schema and validated starting queries.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join_query_questions.md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Week 2 resources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Lists required join scenarios.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Before You Start</w:t>
      </w:r>
    </w:p>
    <w:p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>
      <w:pPr>
        <w:pStyle w:val="Heading1"/>
      </w:pPr>
      <w:r>
        <w:t>Exercise Requirements</w:t>
      </w:r>
    </w:p>
    <w:p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>
      <w:pPr>
        <w:pStyle w:val="Heading2"/>
      </w:pPr>
      <w:r>
        <w:t>Step 1 — Create core joins (35 minutes)</w:t>
      </w:r>
    </w:p>
    <w:p>
      <w:pPr>
        <w:spacing w:after="80"/>
      </w:pPr>
      <w:r>
        <w:rPr>
          <w:i w:val="0"/>
        </w:rPr>
        <w:t>Join complaints to customers and optional accounts.</w:t>
      </w:r>
    </w:p>
    <w:p>
      <w:pPr>
        <w:spacing w:after="50"/>
        <w:ind w:left="403" w:hanging="259"/>
      </w:pPr>
      <w:r>
        <w:t>• Use INNER JOIN only for mandatory customer relationship.</w:t>
      </w:r>
    </w:p>
    <w:p>
      <w:pPr>
        <w:spacing w:after="50"/>
        <w:ind w:left="403" w:hanging="259"/>
      </w:pPr>
      <w:r>
        <w:t>• Use LEFT JOIN for optional account context.</w:t>
      </w:r>
    </w:p>
    <w:p>
      <w:pPr>
        <w:spacing w:after="80"/>
      </w:pPr>
      <w:r>
        <w:rPr>
          <w:b/>
        </w:rPr>
        <w:t xml:space="preserve">Required evidence: </w:t>
      </w:r>
      <w:r>
        <w:t>join_queries.sql.</w:t>
      </w:r>
    </w:p>
    <w:p>
      <w:pPr>
        <w:pStyle w:val="Heading2"/>
      </w:pPr>
      <w:r>
        <w:t>Step 2 — Detect duplication (20 minutes)</w:t>
      </w:r>
    </w:p>
    <w:p>
      <w:pPr>
        <w:spacing w:after="80"/>
      </w:pPr>
      <w:r>
        <w:rPr>
          <w:i w:val="0"/>
        </w:rPr>
        <w:t>Compare row counts before/after joins.</w:t>
      </w:r>
    </w:p>
    <w:p>
      <w:pPr>
        <w:spacing w:after="50"/>
        <w:ind w:left="403" w:hanging="259"/>
      </w:pPr>
      <w:r>
        <w:t>• Use COUNT(*) and COUNT(DISTINCT complaint_id).</w:t>
      </w:r>
    </w:p>
    <w:p>
      <w:pPr>
        <w:spacing w:after="50"/>
        <w:ind w:left="403" w:hanging="259"/>
      </w:pPr>
      <w:r>
        <w:t>• Explain one-to-many duplication.</w:t>
      </w:r>
    </w:p>
    <w:p>
      <w:pPr>
        <w:spacing w:after="80"/>
      </w:pPr>
      <w:r>
        <w:rPr>
          <w:b/>
        </w:rPr>
        <w:t xml:space="preserve">Required evidence: </w:t>
      </w:r>
      <w:r>
        <w:t>join_validation.md.</w:t>
      </w:r>
    </w:p>
    <w:p>
      <w:pPr>
        <w:pStyle w:val="Heading2"/>
      </w:pPr>
      <w:r>
        <w:t>Step 3 — Create analyst view (25 minutes)</w:t>
      </w:r>
    </w:p>
    <w:p>
      <w:pPr>
        <w:spacing w:after="80"/>
      </w:pPr>
      <w:r>
        <w:rPr>
          <w:i w:val="0"/>
        </w:rPr>
        <w:t>Create complaint_analyst_view at complaint grain.</w:t>
      </w:r>
    </w:p>
    <w:p>
      <w:pPr>
        <w:spacing w:after="50"/>
        <w:ind w:left="403" w:hanging="259"/>
      </w:pPr>
      <w:r>
        <w:t>• Include only justified fields.</w:t>
      </w:r>
    </w:p>
    <w:p>
      <w:pPr>
        <w:spacing w:after="50"/>
        <w:ind w:left="403" w:hanging="259"/>
      </w:pPr>
      <w:r>
        <w:t>• Exclude unnecessary personal data.</w:t>
      </w:r>
    </w:p>
    <w:p>
      <w:pPr>
        <w:spacing w:after="80"/>
      </w:pPr>
      <w:r>
        <w:rPr>
          <w:b/>
        </w:rPr>
        <w:t xml:space="preserve">Required evidence: </w:t>
      </w:r>
      <w:r>
        <w:t>complaint_analyst_view.sql.</w:t>
      </w:r>
    </w:p>
    <w:p>
      <w:pPr>
        <w:pStyle w:val="Heading2"/>
      </w:pPr>
      <w:r>
        <w:t>Step 4 — Test missing account (10 minutes)</w:t>
      </w:r>
    </w:p>
    <w:p>
      <w:pPr>
        <w:spacing w:after="80"/>
      </w:pPr>
      <w:r>
        <w:rPr>
          <w:i w:val="0"/>
        </w:rPr>
        <w:t>Verify a complaint without account_id stays visible.</w:t>
      </w:r>
    </w:p>
    <w:p>
      <w:pPr>
        <w:spacing w:after="50"/>
        <w:ind w:left="403" w:hanging="259"/>
      </w:pPr>
      <w:r>
        <w:t>• Capture query and result.</w:t>
      </w:r>
    </w:p>
    <w:p>
      <w:pPr>
        <w:spacing w:after="80"/>
      </w:pPr>
      <w:r>
        <w:rPr>
          <w:b/>
        </w:rPr>
        <w:t xml:space="preserve">Required evidence: </w:t>
      </w:r>
      <w:r>
        <w:t>missing_account_test.md.</w:t>
      </w:r>
    </w:p>
    <w:p>
      <w:pPr>
        <w:pStyle w:val="Heading1"/>
      </w:pPr>
      <w:r>
        <w:t>Expected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04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612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What it must contain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join_queries.sql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 joins.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complaint_analyst_view.sql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Reusable complaint-grain view.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join_validation.md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Counts, duplicates and null analysis.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missing_account_test.md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Evidence optional relationship is preserved.</w:t>
            </w:r>
          </w:p>
        </w:tc>
      </w:tr>
    </w:tbl>
    <w:p>
      <w:pPr>
        <w:pStyle w:val="Heading1"/>
      </w:pPr>
      <w:r>
        <w:t>What Good Looks Like</w:t>
      </w:r>
    </w:p>
    <w:p>
      <w:pPr>
        <w:spacing w:after="50"/>
        <w:ind w:left="403" w:hanging="259"/>
      </w:pPr>
      <w:r>
        <w:t>• The output is executable and another consultant can reproduce it.</w:t>
      </w:r>
    </w:p>
    <w:p>
      <w:pPr>
        <w:spacing w:after="50"/>
        <w:ind w:left="403" w:hanging="259"/>
      </w:pPr>
      <w:r>
        <w:t>• Business meaning and technical behavior are both explained.</w:t>
      </w:r>
    </w:p>
    <w:p>
      <w:pPr>
        <w:spacing w:after="50"/>
        <w:ind w:left="403" w:hanging="259"/>
      </w:pPr>
      <w:r>
        <w:t>• Negative or boundary behavior is tested.</w:t>
      </w:r>
    </w:p>
    <w:p>
      <w:pPr>
        <w:pStyle w:val="Heading1"/>
      </w:pPr>
      <w:r>
        <w:t>Common Mistakes to Avoid</w:t>
      </w:r>
    </w:p>
    <w:p>
      <w:pPr>
        <w:spacing w:after="50"/>
        <w:ind w:left="403" w:hanging="259"/>
      </w:pPr>
      <w:r>
        <w:t>• Submitting screenshots without executable files.</w:t>
      </w:r>
    </w:p>
    <w:p>
      <w:pPr>
        <w:spacing w:after="50"/>
        <w:ind w:left="403" w:hanging="259"/>
      </w:pPr>
      <w:r>
        <w:t>• Changing prior contracts without updating the source specification.</w:t>
      </w:r>
    </w:p>
    <w:p>
      <w:pPr>
        <w:spacing w:after="50"/>
        <w:ind w:left="403" w:hanging="259"/>
      </w:pPr>
      <w:r>
        <w:t>• Ignoring errors, nulls or data-integrity behavior.</w:t>
      </w:r>
    </w:p>
    <w:p>
      <w:pPr>
        <w:pStyle w:val="Heading1"/>
      </w:pPr>
      <w:r>
        <w:t>Definition of Done</w:t>
      </w:r>
    </w:p>
    <w:p>
      <w:pPr>
        <w:spacing w:after="50"/>
        <w:ind w:left="403" w:hanging="259"/>
      </w:pPr>
      <w:r>
        <w:t>• Every named deliverable exists.</w:t>
      </w:r>
    </w:p>
    <w:p>
      <w:pPr>
        <w:spacing w:after="50"/>
        <w:ind w:left="403" w:hanging="259"/>
      </w:pPr>
      <w:r>
        <w:t>• Required checks pass.</w:t>
      </w:r>
    </w:p>
    <w:p>
      <w:pPr>
        <w:spacing w:after="50"/>
        <w:ind w:left="403" w:hanging="259"/>
      </w:pPr>
      <w:r>
        <w:t>• Known limitations are documented.</w:t>
      </w:r>
    </w:p>
    <w:p>
      <w:pPr>
        <w:spacing w:after="50"/>
        <w:ind w:left="403" w:hanging="259"/>
      </w:pPr>
      <w:r>
        <w:t>• The handover artifact is ready for the next exercise.</w:t>
      </w:r>
    </w:p>
    <w:p>
      <w:pPr>
        <w:pStyle w:val="Heading1"/>
      </w:pPr>
      <w:r>
        <w:t>Submission Method</w:t>
      </w:r>
    </w:p>
    <w:p>
      <w:pPr>
        <w:spacing w:after="50"/>
        <w:ind w:left="403" w:hanging="259"/>
      </w:pPr>
      <w:r>
        <w:t>• Create or update every named artifact in the project repository on a feature branch.</w:t>
      </w:r>
    </w:p>
    <w:p>
      <w:pPr>
        <w:spacing w:after="50"/>
        <w:ind w:left="403" w:hanging="259"/>
      </w:pPr>
      <w:r>
        <w:t>• Use the pull-request title: [Consultant name] Join Customer, Account and Complaint Context (Week 2).</w:t>
      </w:r>
    </w:p>
    <w:p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>
      <w:pPr>
        <w:spacing w:after="50"/>
        <w:ind w:left="403" w:hanging="259"/>
      </w:pPr>
      <w:r>
        <w:t>• Tag the coach and do not merge until the review is complete.</w:t>
      </w:r>
    </w:p>
    <w:p>
      <w:pPr>
        <w:pStyle w:val="Heading1"/>
      </w:pPr>
      <w:r>
        <w:t>Dependency Handover</w:t>
      </w:r>
    </w:p>
    <w:p>
      <w:pPr>
        <w:spacing w:after="80"/>
      </w:pPr>
      <w:r>
        <w:rPr>
          <w:i w:val="0"/>
        </w:rPr>
        <w:t>Exercise 2.2.2 uses complaint_analyst_view for metrics.</w:t>
      </w:r>
    </w:p>
    <w:p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B4138B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8776" w14:textId="77777777" w:rsidR="00864BCA" w:rsidRDefault="00864BCA" w:rsidP="00452E00">
      <w:r>
        <w:separator/>
      </w:r>
    </w:p>
  </w:endnote>
  <w:endnote w:type="continuationSeparator" w:id="0">
    <w:p w14:paraId="2C55A826" w14:textId="77777777" w:rsidR="00864BCA" w:rsidRDefault="00864BCA" w:rsidP="0045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842B2F" w14:textId="77777777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799F31" w14:textId="77777777" w:rsidR="00810502" w:rsidRDefault="00810502" w:rsidP="008105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5571CC" w14:textId="1A1A1AAA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14:paraId="758E610C" w14:textId="77777777" w:rsidTr="00A41D4D">
      <w:tc>
        <w:tcPr>
          <w:tcW w:w="2689" w:type="dxa"/>
          <w:vAlign w:val="bottom"/>
        </w:tcPr>
        <w:p w14:paraId="74FBA8F9" w14:textId="77777777" w:rsidR="00663546" w:rsidRDefault="00663546" w:rsidP="00810502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14:paraId="722E0EA7" w14:textId="77777777" w:rsidR="00663546" w:rsidRDefault="00663546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E5F25" w14:textId="77777777" w:rsidR="00864BCA" w:rsidRDefault="00864BCA" w:rsidP="00452E00">
      <w:r>
        <w:separator/>
      </w:r>
    </w:p>
  </w:footnote>
  <w:footnote w:type="continuationSeparator" w:id="0">
    <w:p w14:paraId="2DE57810" w14:textId="77777777" w:rsidR="00864BCA" w:rsidRDefault="00864BCA" w:rsidP="0045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B59C" w14:textId="77777777" w:rsidR="00663546" w:rsidRDefault="000268AE" w:rsidP="00183BBD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3546" w:rsidRPr="002E561B">
      <w:rPr>
        <w:noProof/>
      </w:rPr>
      <w:t xml:space="preserve"> </w:t>
    </w:r>
  </w:p>
  <w:p w14:paraId="5768E495" w14:textId="77777777" w:rsidR="00437499" w:rsidRDefault="00437499" w:rsidP="00437499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5F73" w14:textId="77777777" w:rsidR="00896CEF" w:rsidRPr="00663546" w:rsidRDefault="00AA0485" w:rsidP="00663546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3573F" id="Rectangle 5" o:spid="_x0000_s1026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64BCA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C38A3"/>
    <w:rsid w:val="00AD4807"/>
    <w:rsid w:val="00AE210C"/>
    <w:rsid w:val="00AE602A"/>
    <w:rsid w:val="00B0369A"/>
    <w:rsid w:val="00B05C44"/>
    <w:rsid w:val="00B4138B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429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eastAsiaTheme="majorEastAsia" w:hAnsi="Aptos Display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eastAsiaTheme="majorEastAsia" w:cs="DokChampa (Headings CS)" w:ascii="Aptos Display" w:hAnsi="Aptos Display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46"/>
    <w:rPr>
      <w:rFonts w:ascii="Impact" w:eastAsiaTheme="majorEastAsia" w:hAnsi="Impact" w:cstheme="majorBidi"/>
      <w:color w:val="1E1E1E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861"/>
    <w:rPr>
      <w:rFonts w:ascii="Inter" w:eastAsiaTheme="majorEastAsia" w:hAnsi="Inter" w:cs="DokChampa (Headings CS)"/>
      <w:b/>
      <w:color w:val="1E1E1E" w:themeColor="text1"/>
      <w:spacing w:val="-2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0369A"/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369A"/>
    <w:rPr>
      <w:rFonts w:asciiTheme="majorHAnsi" w:eastAsiaTheme="majorEastAsia" w:hAnsiTheme="majorHAnsi" w:cstheme="majorBidi"/>
      <w:color w:val="7700F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0369A"/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B0369A"/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0369A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eastAsiaTheme="majorEastAsia" w:hAnsi="Aptos Display" w:cs="DokChampa (Headings CS)"/>
      <w:b/>
      <w:color w:val="1F4E79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2F7E9B"/>
    <w:rPr>
      <w:rFonts w:ascii="Impact" w:eastAsiaTheme="majorEastAsia" w:hAnsi="Impact" w:cs="DokChampa (Headings CS)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sz="4" w:space="10" w:color="A34CFF" w:themeColor="accent1"/>
        <w:bottom w:val="single" w:sz="4" w:space="10" w:color="A34CFF" w:themeColor="accent1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customStyle="1" w:styleId="Subtitle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customStyle="1" w:styleId="Body">
    <w:name w:val="Body"/>
    <w:basedOn w:val="Normal"/>
    <w:qFormat/>
    <w:rsid w:val="00C44A40"/>
  </w:style>
  <w:style w:type="paragraph" w:customStyle="1" w:styleId="Subheading1">
    <w:name w:val="Subheading 1"/>
    <w:basedOn w:val="Body"/>
    <w:qFormat/>
    <w:rsid w:val="002C2306"/>
    <w:rPr>
      <w:rFonts w:ascii="Impact" w:hAnsi="Impact"/>
      <w:sz w:val="32"/>
    </w:rPr>
  </w:style>
  <w:style w:type="paragraph" w:customStyle="1" w:styleId="BodySubheading2">
    <w:name w:val="Body Subheading 2"/>
    <w:basedOn w:val="Body"/>
    <w:qFormat/>
    <w:rsid w:val="00790E49"/>
    <w:rPr>
      <w:b/>
    </w:rPr>
  </w:style>
  <w:style w:type="paragraph" w:customStyle="1" w:styleId="BodyBold">
    <w:name w:val="Body Bold"/>
    <w:basedOn w:val="BodySubheading2"/>
    <w:qFormat/>
    <w:rsid w:val="00980879"/>
  </w:style>
  <w:style w:type="paragraph" w:customStyle="1" w:styleId="BodySubheading1">
    <w:name w:val="Body Subheading 1"/>
    <w:basedOn w:val="BodySubheading2"/>
    <w:qFormat/>
    <w:rsid w:val="00EA590A"/>
    <w:rPr>
      <w:sz w:val="24"/>
    </w:rPr>
  </w:style>
  <w:style w:type="paragraph" w:customStyle="1" w:styleId="BodyItalics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C5B7CB14-E4C2-4041-8A3D-EA84F8F7910F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FDM_DocTemplate_A4_Print_White</Template>
  <TotalTime>42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Mayank Arora</cp:lastModifiedBy>
  <cp:revision>21</cp:revision>
  <dcterms:created xsi:type="dcterms:W3CDTF">2024-05-16T17:27:00Z</dcterms:created>
  <dcterms:modified xsi:type="dcterms:W3CDTF">2026-10-02T19:58:00Z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</Properties>
</file>