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57C" w:rsidP="49D65774" w:rsidRDefault="00E2257C" w14:paraId="64CBD0AF" w14:textId="77777777">
      <w:pPr>
        <w:pStyle w:val="Normal"/>
      </w:pPr>
    </w:p>
    <w:p w:rsidR="00E2257C" w:rsidRDefault="00E2257C" w14:paraId="15C1BCA0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4BE4C568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2624CCDD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1CA7FD3C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740CB42B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1A900310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19FD5CC1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3F1758A4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72973265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064213E5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52454D1D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35FCD189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61F379CD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63E95946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098D0310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02DF9396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303F99AB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27796DE8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033FB656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1E0AE051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62EB562E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75E87ACF" w14:textId="77777777">
      <w:pPr>
        <w:pStyle w:val="Title"/>
        <w:jc w:val="center"/>
        <w:rPr>
          <w:b/>
          <w:color w:val="1F4E79"/>
          <w:sz w:val="44"/>
        </w:rPr>
      </w:pPr>
    </w:p>
    <w:p w:rsidR="00E2257C" w:rsidRDefault="00E2257C" w14:paraId="3E8E9ADF" w14:textId="77777777">
      <w:pPr>
        <w:pStyle w:val="Title"/>
        <w:jc w:val="center"/>
        <w:rPr>
          <w:b/>
          <w:color w:val="1F4E79"/>
          <w:sz w:val="44"/>
        </w:rPr>
      </w:pPr>
    </w:p>
    <w:p xmlns:wp14="http://schemas.microsoft.com/office/word/2010/wordml" w14:paraId="303B77D0" wp14:textId="77777777">
      <w:pPr>
        <w:pStyle w:val="Title"/>
        <w:jc w:val="center"/>
      </w:pPr>
      <w:r>
        <w:t>FDM FORWARD DEPLOYED AI ENGINEER</w:t>
      </w:r>
    </w:p>
    <w:p xmlns:wp14="http://schemas.microsoft.com/office/word/2010/wordml" w14:paraId="27766427" wp14:textId="77777777">
      <w:pPr>
        <w:jc w:val="center"/>
      </w:pPr>
      <w:r>
        <w:rPr>
          <w:b/>
          <w:sz w:val="24"/>
        </w:rPr>
        <w:t>Week 2 | Exercise 5</w:t>
      </w:r>
    </w:p>
    <w:p xmlns:wp14="http://schemas.microsoft.com/office/word/2010/wordml" w14:paraId="6A6DD187" wp14:textId="77777777">
      <w:pPr>
        <w:jc w:val="center"/>
      </w:pPr>
      <w:r>
        <w:rPr>
          <w:b/>
          <w:color w:val="1F4E79"/>
          <w:sz w:val="40"/>
        </w:rPr>
        <w:t>Use CTEs, CASE and Window Functions</w:t>
      </w:r>
    </w:p>
    <w:p xmlns:wp14="http://schemas.microsoft.com/office/word/2010/wordml" w14:paraId="3CC4C4BE" wp14:textId="77777777">
      <w:pPr>
        <w:jc w:val="center"/>
      </w:pPr>
      <w:r>
        <w:rPr>
          <w:i/>
        </w:rPr>
        <w:t>Time Required: 1 hour 45 minutes</w:t>
      </w:r>
    </w:p>
    <w:p xmlns:wp14="http://schemas.microsoft.com/office/word/2010/wordml" w14:paraId="2D13C3B5" wp14:textId="77777777">
      <w:pPr>
        <w:spacing w:after="80"/>
      </w:pPr>
      <w:r>
        <w:rPr>
          <w:i w:val="0"/>
        </w:rPr>
        <w:t>Use intermediate SQL constructs to express ageing, repeat complaints and latest-status logic clearly.</w:t>
      </w:r>
    </w:p>
    <w:p xmlns:wp14="http://schemas.microsoft.com/office/word/2010/wordml" w14:paraId="4B0A823C" wp14:textId="77777777">
      <w:pPr>
        <w:pStyle w:val="Heading1"/>
      </w:pPr>
      <w:r>
        <w:t>Where This Exercise Fits</w:t>
      </w:r>
    </w:p>
    <w:p xmlns:wp14="http://schemas.microsoft.com/office/word/2010/wordml" w14:paraId="39DB1BD5" wp14:textId="77777777"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xmlns:wp14="http://schemas.microsoft.com/office/word/2010/wordml" w14:paraId="4E2EC5AE" wp14:textId="77777777">
        <w:tc>
          <w:tcPr>
            <w:tcW w:w="9638" w:type="dxa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 w14:paraId="7A9D227C" wp14:textId="77777777">
            <w:r>
              <w:rPr>
                <w:b/>
              </w:rPr>
              <w:t xml:space="preserve">Project connection: </w:t>
            </w:r>
            <w:r>
              <w:t>The advanced queries support prioritization and history without moving deterministic calculations into an LLM.</w:t>
            </w:r>
          </w:p>
        </w:tc>
      </w:tr>
    </w:tbl>
    <w:p xmlns:wp14="http://schemas.microsoft.com/office/word/2010/wordml" w14:paraId="730FDE5E" wp14:textId="77777777">
      <w:pPr>
        <w:pStyle w:val="Heading1"/>
      </w:pPr>
      <w:r>
        <w:t>Scenario</w:t>
      </w:r>
    </w:p>
    <w:p xmlns:wp14="http://schemas.microsoft.com/office/word/2010/wordml" w14:paraId="4FB07E4A" wp14:textId="77777777">
      <w:pPr>
        <w:spacing w:after="80"/>
      </w:pPr>
      <w:r>
        <w:rPr>
          <w:i w:val="0"/>
        </w:rPr>
        <w:t>Analysts need age bands, latest events and repeat-complaint indicators; these require multi-step queries while preserving readable business logic.</w:t>
      </w:r>
    </w:p>
    <w:p xmlns:wp14="http://schemas.microsoft.com/office/word/2010/wordml" w14:paraId="0799489B" wp14:textId="77777777">
      <w:pPr>
        <w:pStyle w:val="Heading1"/>
      </w:pPr>
      <w:r>
        <w:t>Learning Outcomes</w:t>
      </w:r>
    </w:p>
    <w:p xmlns:wp14="http://schemas.microsoft.com/office/word/2010/wordml" w14:paraId="24434892" wp14:textId="77777777">
      <w:pPr>
        <w:spacing w:after="50"/>
        <w:ind w:left="403" w:hanging="259"/>
      </w:pPr>
      <w:r>
        <w:t>• Apply the relevant SQL or Python technique to a realistic complaint operation.</w:t>
      </w:r>
    </w:p>
    <w:p xmlns:wp14="http://schemas.microsoft.com/office/word/2010/wordml" w14:paraId="12074FDA" wp14:textId="77777777">
      <w:pPr>
        <w:spacing w:after="50"/>
        <w:ind w:left="403" w:hanging="259"/>
      </w:pPr>
      <w:r>
        <w:t>• Produce executable, reviewable evidence.</w:t>
      </w:r>
    </w:p>
    <w:p xmlns:wp14="http://schemas.microsoft.com/office/word/2010/wordml" w14:paraId="375B5970" wp14:textId="77777777">
      <w:pPr>
        <w:spacing w:after="50"/>
        <w:ind w:left="403" w:hanging="259"/>
      </w:pPr>
      <w:r>
        <w:t>• Preserve the artifact for later API and agent work.</w:t>
      </w:r>
    </w:p>
    <w:p xmlns:wp14="http://schemas.microsoft.com/office/word/2010/wordml" w14:paraId="62BD8915" wp14:textId="77777777">
      <w:pPr>
        <w:pStyle w:val="Heading1"/>
      </w:pPr>
      <w:r>
        <w:t>Prerequisites and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xmlns:wp14="http://schemas.microsoft.com/office/word/2010/wordml" w14:paraId="37BABE73" wp14:textId="77777777">
        <w:tc>
          <w:tcPr>
            <w:tcW w:w="208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9BF04D9" wp14:textId="77777777">
            <w:r>
              <w:rPr>
                <w:b/>
                <w:color w:val="FFFFFF"/>
              </w:rPr>
              <w:t>Input</w:t>
            </w:r>
          </w:p>
        </w:tc>
        <w:tc>
          <w:tcPr>
            <w:tcW w:w="201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7D63D4F" wp14:textId="77777777">
            <w:r>
              <w:rPr>
                <w:b/>
                <w:color w:val="FFFFFF"/>
              </w:rPr>
              <w:t>Source</w:t>
            </w:r>
          </w:p>
        </w:tc>
        <w:tc>
          <w:tcPr>
            <w:tcW w:w="45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62638AA" wp14:textId="77777777">
            <w:r>
              <w:rPr>
                <w:b/>
                <w:color w:val="FFFFFF"/>
              </w:rPr>
              <w:t>How it is used</w:t>
            </w:r>
          </w:p>
        </w:tc>
        <w:tc>
          <w:tcPr>
            <w:tcW w:w="9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32871E4" wp14:textId="77777777">
            <w:r>
              <w:rPr>
                <w:b/>
                <w:color w:val="FFFFFF"/>
              </w:rPr>
              <w:t>Required</w:t>
            </w:r>
          </w:p>
        </w:tc>
      </w:tr>
      <w:tr xmlns:wp14="http://schemas.microsoft.com/office/word/2010/wordml" w14:paraId="6D431A5A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7DA1EF4" wp14:textId="77777777">
            <w:r>
              <w:t>Metric queries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608C57D" wp14:textId="77777777">
            <w:r>
              <w:t>Created in 2.2.2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095B870" wp14:textId="77777777">
            <w:r>
              <w:t>Provide definitions and starting logic.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B7FDD25" wp14:textId="77777777">
            <w:r>
              <w:t>Yes</w:t>
            </w:r>
          </w:p>
        </w:tc>
      </w:tr>
      <w:tr xmlns:wp14="http://schemas.microsoft.com/office/word/2010/wordml" w14:paraId="22A8716D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24BC503" wp14:textId="77777777">
            <w:r>
              <w:t>advanced_sql_questions.md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1A03A37" wp14:textId="77777777">
            <w:r>
              <w:t>Week 2 resources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EEB2071" wp14:textId="77777777">
            <w:r>
              <w:t>Lists required advanced questions.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5239733" wp14:textId="77777777">
            <w:r>
              <w:t>Yes</w:t>
            </w:r>
          </w:p>
        </w:tc>
      </w:tr>
    </w:tbl>
    <w:p xmlns:wp14="http://schemas.microsoft.com/office/word/2010/wordml" w14:paraId="137C3B33" wp14:textId="77777777">
      <w:pPr>
        <w:pStyle w:val="Heading1"/>
      </w:pPr>
      <w:r>
        <w:t>Before You Start</w:t>
      </w:r>
    </w:p>
    <w:p xmlns:wp14="http://schemas.microsoft.com/office/word/2010/wordml" w14:paraId="27A04A73" wp14:textId="77777777"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 xmlns:wp14="http://schemas.microsoft.com/office/word/2010/wordml" w14:paraId="64449FB8" wp14:textId="77777777"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 xmlns:wp14="http://schemas.microsoft.com/office/word/2010/wordml" w14:paraId="3281B4B9" wp14:textId="77777777"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 xmlns:wp14="http://schemas.microsoft.com/office/word/2010/wordml" w14:paraId="41D73C6E" wp14:textId="77777777">
      <w:pPr>
        <w:pStyle w:val="Heading1"/>
      </w:pPr>
      <w:r>
        <w:t>Exercise Requirements</w:t>
      </w:r>
    </w:p>
    <w:p xmlns:wp14="http://schemas.microsoft.com/office/word/2010/wordml" w14:paraId="416091B3" wp14:textId="77777777"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 xmlns:wp14="http://schemas.microsoft.com/office/word/2010/wordml" w14:paraId="23A0FDB9" wp14:textId="77777777">
      <w:pPr>
        <w:pStyle w:val="Heading2"/>
      </w:pPr>
      <w:r>
        <w:t>Step 1 — Create age buckets (25 minutes)</w:t>
      </w:r>
    </w:p>
    <w:p xmlns:wp14="http://schemas.microsoft.com/office/word/2010/wordml" w14:paraId="1B66C646" wp14:textId="77777777">
      <w:pPr>
        <w:spacing w:after="80"/>
      </w:pPr>
      <w:r>
        <w:rPr>
          <w:i w:val="0"/>
        </w:rPr>
        <w:t>Use CASE for unresolved 0–7, 8–30 and 31+ day groups.</w:t>
      </w:r>
    </w:p>
    <w:p xmlns:wp14="http://schemas.microsoft.com/office/word/2010/wordml" w14:paraId="183EB74A" wp14:textId="2C29AC19">
      <w:pPr>
        <w:spacing w:after="50"/>
        <w:ind w:left="403" w:hanging="259"/>
      </w:pPr>
      <w:r w:rsidR="49D65774">
        <w:rPr/>
        <w:t>• Test exact boundary dates.age</w:t>
      </w:r>
    </w:p>
    <w:p xmlns:wp14="http://schemas.microsoft.com/office/word/2010/wordml" w14:paraId="4A21F6EF" wp14:textId="77777777">
      <w:pPr>
        <w:spacing w:after="80"/>
      </w:pPr>
      <w:r>
        <w:rPr>
          <w:b/>
        </w:rPr>
        <w:t xml:space="preserve">Required evidence: </w:t>
      </w:r>
      <w:r>
        <w:t>age_bucket query.</w:t>
      </w:r>
    </w:p>
    <w:p xmlns:wp14="http://schemas.microsoft.com/office/word/2010/wordml" w14:paraId="2E25E2D1" wp14:textId="77777777">
      <w:pPr>
        <w:pStyle w:val="Heading2"/>
      </w:pPr>
      <w:r>
        <w:t>Step 2 — Build CTE analysis (30 minutes)</w:t>
      </w:r>
    </w:p>
    <w:p xmlns:wp14="http://schemas.microsoft.com/office/word/2010/wordml" w14:paraId="7FB83C4E" wp14:textId="77777777">
      <w:pPr>
        <w:spacing w:after="80"/>
      </w:pPr>
      <w:r>
        <w:rPr>
          <w:i w:val="0"/>
        </w:rPr>
        <w:t>Use named CTEs for repeat complaints and escalation context.</w:t>
      </w:r>
    </w:p>
    <w:p xmlns:wp14="http://schemas.microsoft.com/office/word/2010/wordml" w14:paraId="63084426" wp14:textId="77777777">
      <w:pPr>
        <w:spacing w:after="50"/>
        <w:ind w:left="403" w:hanging="259"/>
      </w:pPr>
      <w:r>
        <w:t>• Name CTEs by business purpose.</w:t>
      </w:r>
    </w:p>
    <w:p xmlns:wp14="http://schemas.microsoft.com/office/word/2010/wordml" w14:paraId="49B67121" wp14:textId="77777777">
      <w:pPr>
        <w:spacing w:after="50"/>
        <w:ind w:left="403" w:hanging="259"/>
      </w:pPr>
      <w:r>
        <w:t>• Keep stages readable.</w:t>
      </w:r>
    </w:p>
    <w:p xmlns:wp14="http://schemas.microsoft.com/office/word/2010/wordml" w14:paraId="1518B372" wp14:textId="77777777">
      <w:pPr>
        <w:spacing w:after="80"/>
      </w:pPr>
      <w:r>
        <w:rPr>
          <w:b/>
        </w:rPr>
        <w:t xml:space="preserve">Required evidence: </w:t>
      </w:r>
      <w:r>
        <w:t>CTE query.</w:t>
      </w:r>
    </w:p>
    <w:p xmlns:wp14="http://schemas.microsoft.com/office/word/2010/wordml" w14:paraId="43898D48" wp14:textId="77777777">
      <w:pPr>
        <w:pStyle w:val="Heading2"/>
      </w:pPr>
      <w:r>
        <w:t>Step 3 — Use window functions (30 minutes)</w:t>
      </w:r>
    </w:p>
    <w:p xmlns:wp14="http://schemas.microsoft.com/office/word/2010/wordml" w14:paraId="2F1CF07B" wp14:textId="77777777">
      <w:pPr>
        <w:spacing w:after="80"/>
      </w:pPr>
      <w:r>
        <w:rPr>
          <w:i w:val="0"/>
        </w:rPr>
        <w:t>Select latest status and rank customers by complaint count.</w:t>
      </w:r>
    </w:p>
    <w:p xmlns:wp14="http://schemas.microsoft.com/office/word/2010/wordml" w14:paraId="66C665A5" wp14:textId="77777777">
      <w:pPr>
        <w:spacing w:after="50"/>
        <w:ind w:left="403" w:hanging="259"/>
      </w:pPr>
      <w:r>
        <w:t>• Explain PARTITION BY and ORDER BY.</w:t>
      </w:r>
    </w:p>
    <w:p xmlns:wp14="http://schemas.microsoft.com/office/word/2010/wordml" w14:paraId="0B35794F" wp14:textId="77777777">
      <w:pPr>
        <w:spacing w:after="50"/>
        <w:ind w:left="403" w:hanging="259"/>
      </w:pPr>
      <w:r>
        <w:t>• Resolve ties deterministically.</w:t>
      </w:r>
    </w:p>
    <w:p xmlns:wp14="http://schemas.microsoft.com/office/word/2010/wordml" w14:paraId="0BE38F69" wp14:textId="77777777">
      <w:pPr>
        <w:spacing w:after="80"/>
      </w:pPr>
      <w:r>
        <w:rPr>
          <w:b/>
        </w:rPr>
        <w:t xml:space="preserve">Required evidence: </w:t>
      </w:r>
      <w:r>
        <w:t>window queries.</w:t>
      </w:r>
    </w:p>
    <w:p xmlns:wp14="http://schemas.microsoft.com/office/word/2010/wordml" w14:paraId="09094311" wp14:textId="77777777">
      <w:pPr>
        <w:pStyle w:val="Heading2"/>
      </w:pPr>
      <w:r>
        <w:t>Step 4 — Explain and validate (20 minutes)</w:t>
      </w:r>
    </w:p>
    <w:p xmlns:wp14="http://schemas.microsoft.com/office/word/2010/wordml" w14:paraId="7F529B1A" wp14:textId="77777777">
      <w:pPr>
        <w:spacing w:after="80"/>
      </w:pPr>
      <w:r>
        <w:rPr>
          <w:i w:val="0"/>
        </w:rPr>
        <w:t>Document boundaries, partitions and expected grain.</w:t>
      </w:r>
    </w:p>
    <w:p xmlns:wp14="http://schemas.microsoft.com/office/word/2010/wordml" w14:paraId="2A229A29" wp14:textId="77777777">
      <w:pPr>
        <w:spacing w:after="50"/>
        <w:ind w:left="403" w:hanging="259"/>
      </w:pPr>
      <w:r>
        <w:t>• Capture representative results.</w:t>
      </w:r>
    </w:p>
    <w:p xmlns:wp14="http://schemas.microsoft.com/office/word/2010/wordml" w14:paraId="7D4C457D" wp14:textId="77777777">
      <w:pPr>
        <w:spacing w:after="80"/>
      </w:pPr>
      <w:r>
        <w:rPr>
          <w:b/>
        </w:rPr>
        <w:t xml:space="preserve">Required evidence: </w:t>
      </w:r>
      <w:r>
        <w:t>advanced_sql_explanation.md.</w:t>
      </w:r>
    </w:p>
    <w:p xmlns:wp14="http://schemas.microsoft.com/office/word/2010/wordml" w14:paraId="75D1C510" wp14:textId="77777777">
      <w:pPr>
        <w:pStyle w:val="Heading1"/>
      </w:pPr>
      <w:r>
        <w:t>Expected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xmlns:wp14="http://schemas.microsoft.com/office/word/2010/wordml" w14:paraId="6E091B78" wp14:textId="77777777">
        <w:tc>
          <w:tcPr>
            <w:tcW w:w="504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AFC7B24" wp14:textId="77777777">
            <w:r>
              <w:rPr>
                <w:b/>
                <w:color w:val="FFFFFF"/>
              </w:rPr>
              <w:t>#</w:t>
            </w:r>
          </w:p>
        </w:tc>
        <w:tc>
          <w:tcPr>
            <w:tcW w:w="316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56239B3" wp14:textId="77777777">
            <w:r>
              <w:rPr>
                <w:b/>
                <w:color w:val="FFFFFF"/>
              </w:rPr>
              <w:t>Artifact</w:t>
            </w:r>
          </w:p>
        </w:tc>
        <w:tc>
          <w:tcPr>
            <w:tcW w:w="6120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4BFA82D" wp14:textId="77777777">
            <w:r>
              <w:rPr>
                <w:b/>
                <w:color w:val="FFFFFF"/>
              </w:rPr>
              <w:t>What it must contain</w:t>
            </w:r>
          </w:p>
        </w:tc>
      </w:tr>
      <w:tr xmlns:wp14="http://schemas.microsoft.com/office/word/2010/wordml" w14:paraId="15132389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49841BE" wp14:textId="77777777">
            <w:r>
              <w:t>1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40FEF35" wp14:textId="77777777">
            <w:r>
              <w:t>advanced_queries.sql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358DD70" wp14:textId="77777777">
            <w:r>
              <w:t>CASE, CTE and window queries.</w:t>
            </w:r>
          </w:p>
        </w:tc>
      </w:tr>
      <w:tr xmlns:wp14="http://schemas.microsoft.com/office/word/2010/wordml" w14:paraId="731B93AF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8F999B5" wp14:textId="77777777">
            <w:r>
              <w:t>2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B7F21FB" wp14:textId="77777777">
            <w:r>
              <w:t>advanced_query_results.csv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CBEB384" wp14:textId="77777777">
            <w:r>
              <w:t>Validated outputs.</w:t>
            </w:r>
          </w:p>
        </w:tc>
      </w:tr>
      <w:tr xmlns:wp14="http://schemas.microsoft.com/office/word/2010/wordml" w14:paraId="2B20A3CD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FCD5EC4" wp14:textId="77777777">
            <w:r>
              <w:t>3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BFB6B18" wp14:textId="77777777">
            <w:r>
              <w:t>advanced_sql_explanation.md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190FC64" wp14:textId="77777777">
            <w:r>
              <w:t>Business and SQL reasoning.</w:t>
            </w:r>
          </w:p>
        </w:tc>
      </w:tr>
    </w:tbl>
    <w:p xmlns:wp14="http://schemas.microsoft.com/office/word/2010/wordml" w14:paraId="271EB747" wp14:textId="77777777">
      <w:pPr>
        <w:pStyle w:val="Heading1"/>
      </w:pPr>
      <w:r>
        <w:t>What Good Looks Like</w:t>
      </w:r>
    </w:p>
    <w:p xmlns:wp14="http://schemas.microsoft.com/office/word/2010/wordml" w14:paraId="1FBB05AF" wp14:textId="77777777">
      <w:pPr>
        <w:spacing w:after="50"/>
        <w:ind w:left="403" w:hanging="259"/>
      </w:pPr>
      <w:r>
        <w:t>• The output is executable and another consultant can reproduce it.</w:t>
      </w:r>
    </w:p>
    <w:p xmlns:wp14="http://schemas.microsoft.com/office/word/2010/wordml" w14:paraId="7E156AC7" wp14:textId="77777777">
      <w:pPr>
        <w:spacing w:after="50"/>
        <w:ind w:left="403" w:hanging="259"/>
      </w:pPr>
      <w:r>
        <w:t>• Business meaning and technical behavior are both explained.</w:t>
      </w:r>
    </w:p>
    <w:p xmlns:wp14="http://schemas.microsoft.com/office/word/2010/wordml" w14:paraId="5F7CED65" wp14:textId="77777777">
      <w:pPr>
        <w:spacing w:after="50"/>
        <w:ind w:left="403" w:hanging="259"/>
      </w:pPr>
      <w:r>
        <w:t>• Negative or boundary behavior is tested.</w:t>
      </w:r>
    </w:p>
    <w:p xmlns:wp14="http://schemas.microsoft.com/office/word/2010/wordml" w14:paraId="49F1BAEA" wp14:textId="77777777">
      <w:pPr>
        <w:pStyle w:val="Heading1"/>
      </w:pPr>
      <w:r>
        <w:t>Common Mistakes to Avoid</w:t>
      </w:r>
    </w:p>
    <w:p xmlns:wp14="http://schemas.microsoft.com/office/word/2010/wordml" w14:paraId="4891C1CA" wp14:textId="77777777">
      <w:pPr>
        <w:spacing w:after="50"/>
        <w:ind w:left="403" w:hanging="259"/>
      </w:pPr>
      <w:r>
        <w:t>• Submitting screenshots without executable files.</w:t>
      </w:r>
    </w:p>
    <w:p xmlns:wp14="http://schemas.microsoft.com/office/word/2010/wordml" w14:paraId="58DE4A27" wp14:textId="77777777">
      <w:pPr>
        <w:spacing w:after="50"/>
        <w:ind w:left="403" w:hanging="259"/>
      </w:pPr>
      <w:r>
        <w:t>• Changing prior contracts without updating the source specification.</w:t>
      </w:r>
    </w:p>
    <w:p xmlns:wp14="http://schemas.microsoft.com/office/word/2010/wordml" w14:paraId="2A8543A4" wp14:textId="77777777">
      <w:pPr>
        <w:spacing w:after="50"/>
        <w:ind w:left="403" w:hanging="259"/>
      </w:pPr>
      <w:r>
        <w:t>• Ignoring errors, nulls or data-integrity behavior.</w:t>
      </w:r>
    </w:p>
    <w:p xmlns:wp14="http://schemas.microsoft.com/office/word/2010/wordml" w14:paraId="145C4A81" wp14:textId="77777777">
      <w:pPr>
        <w:pStyle w:val="Heading1"/>
      </w:pPr>
      <w:r>
        <w:t>Definition of Done</w:t>
      </w:r>
    </w:p>
    <w:p xmlns:wp14="http://schemas.microsoft.com/office/word/2010/wordml" w14:paraId="79C57CED" wp14:textId="77777777">
      <w:pPr>
        <w:spacing w:after="50"/>
        <w:ind w:left="403" w:hanging="259"/>
      </w:pPr>
      <w:r>
        <w:t>• Every named deliverable exists.</w:t>
      </w:r>
    </w:p>
    <w:p xmlns:wp14="http://schemas.microsoft.com/office/word/2010/wordml" w14:paraId="6AA31A6F" wp14:textId="77777777">
      <w:pPr>
        <w:spacing w:after="50"/>
        <w:ind w:left="403" w:hanging="259"/>
      </w:pPr>
      <w:r>
        <w:t>• Required checks pass.</w:t>
      </w:r>
    </w:p>
    <w:p xmlns:wp14="http://schemas.microsoft.com/office/word/2010/wordml" w14:paraId="1D0A6DAE" wp14:textId="77777777">
      <w:pPr>
        <w:spacing w:after="50"/>
        <w:ind w:left="403" w:hanging="259"/>
      </w:pPr>
      <w:r>
        <w:t>• Known limitations are documented.</w:t>
      </w:r>
    </w:p>
    <w:p xmlns:wp14="http://schemas.microsoft.com/office/word/2010/wordml" w14:paraId="209B74C1" wp14:textId="77777777">
      <w:pPr>
        <w:spacing w:after="50"/>
        <w:ind w:left="403" w:hanging="259"/>
      </w:pPr>
      <w:r>
        <w:t>• The handover artifact is ready for the next exercise.</w:t>
      </w:r>
    </w:p>
    <w:p xmlns:wp14="http://schemas.microsoft.com/office/word/2010/wordml" w14:paraId="2171DEB0" wp14:textId="77777777">
      <w:pPr>
        <w:pStyle w:val="Heading1"/>
      </w:pPr>
      <w:r>
        <w:t>Submission Method</w:t>
      </w:r>
    </w:p>
    <w:p xmlns:wp14="http://schemas.microsoft.com/office/word/2010/wordml" w14:paraId="1EE0EB43" wp14:textId="77777777">
      <w:pPr>
        <w:spacing w:after="50"/>
        <w:ind w:left="403" w:hanging="259"/>
      </w:pPr>
      <w:r>
        <w:t>• Create or update every named artifact in the project repository on a feature branch.</w:t>
      </w:r>
    </w:p>
    <w:p xmlns:wp14="http://schemas.microsoft.com/office/word/2010/wordml" w14:paraId="4C2564EC" wp14:textId="77777777">
      <w:pPr>
        <w:spacing w:after="50"/>
        <w:ind w:left="403" w:hanging="259"/>
      </w:pPr>
      <w:r>
        <w:t>• Use the pull-request title: [Consultant name] Use CTEs, CASE and Window Functions (Week 2).</w:t>
      </w:r>
    </w:p>
    <w:p xmlns:wp14="http://schemas.microsoft.com/office/word/2010/wordml" w14:paraId="2E7D980B" wp14:textId="77777777"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 xmlns:wp14="http://schemas.microsoft.com/office/word/2010/wordml" w14:paraId="34FEF552" wp14:textId="77777777">
      <w:pPr>
        <w:spacing w:after="50"/>
        <w:ind w:left="403" w:hanging="259"/>
      </w:pPr>
      <w:r>
        <w:t>• Tag the coach and do not merge until the review is complete.</w:t>
      </w:r>
    </w:p>
    <w:p xmlns:wp14="http://schemas.microsoft.com/office/word/2010/wordml" w14:paraId="5FB9A010" wp14:textId="77777777">
      <w:pPr>
        <w:pStyle w:val="Heading1"/>
      </w:pPr>
      <w:r>
        <w:t>Dependency Handover</w:t>
      </w:r>
    </w:p>
    <w:p xmlns:wp14="http://schemas.microsoft.com/office/word/2010/wordml" w14:paraId="086670A4" wp14:textId="77777777">
      <w:pPr>
        <w:spacing w:after="80"/>
      </w:pPr>
      <w:r>
        <w:rPr>
          <w:i w:val="0"/>
        </w:rPr>
        <w:t>Exercise 2.3.2 uses these examples when deciding SQL, RAG, tool or human responsibility.</w:t>
      </w:r>
    </w:p>
    <w:p xmlns:wp14="http://schemas.microsoft.com/office/word/2010/wordml" w14:paraId="3F3F0D77" wp14:textId="77777777"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115165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 w:orient="portrait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7284" w:rsidP="00452E00" w:rsidRDefault="00AF7284" w14:paraId="0007AB94" w14:textId="77777777">
      <w:r>
        <w:separator/>
      </w:r>
    </w:p>
  </w:endnote>
  <w:endnote w:type="continuationSeparator" w:id="0">
    <w:p w:rsidR="00AF7284" w:rsidP="00452E00" w:rsidRDefault="00AF7284" w14:paraId="6A8B63C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5E842B2F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810502" w:rsidP="00810502" w:rsidRDefault="00810502" w14:paraId="0F799F3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7C5571CC" w14:textId="1A1A1AAA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:rsidTr="00A41D4D" w14:paraId="758E610C" w14:textId="77777777">
      <w:tc>
        <w:tcPr>
          <w:tcW w:w="2689" w:type="dxa"/>
          <w:vAlign w:val="bottom"/>
        </w:tcPr>
        <w:p w:rsidR="00663546" w:rsidP="00810502" w:rsidRDefault="00663546" w14:paraId="74FBA8F9" w14:textId="77777777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:rsidR="00663546" w:rsidRDefault="00663546" w14:paraId="722E0EA7" w14:textId="7777777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7284" w:rsidP="00452E00" w:rsidRDefault="00AF7284" w14:paraId="0E26F24D" w14:textId="77777777">
      <w:r>
        <w:separator/>
      </w:r>
    </w:p>
  </w:footnote>
  <w:footnote w:type="continuationSeparator" w:id="0">
    <w:p w:rsidR="00AF7284" w:rsidP="00452E00" w:rsidRDefault="00AF7284" w14:paraId="7840AC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663546" w:rsidP="00183BBD" w:rsidRDefault="000268AE" w14:paraId="2969B59C" w14:textId="77777777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561B" w:rsidR="00663546">
      <w:rPr>
        <w:noProof/>
      </w:rPr>
      <w:t xml:space="preserve"> </w:t>
    </w:r>
  </w:p>
  <w:p w:rsidR="00437499" w:rsidP="00437499" w:rsidRDefault="00437499" w14:paraId="5768E495" w14:textId="77777777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663546" w:rsidR="00896CEF" w:rsidP="00663546" w:rsidRDefault="00AA0485" w14:paraId="36305F73" w14:textId="77777777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43A71F9">
            <v:rect id="Rectangle 5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d="f" strokeweight="1pt" w14:anchorId="091357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>
              <v:fill type="frame" o:title="" recolor="t" rotate="t" r:id="rId4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15165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257B7"/>
    <w:rsid w:val="00330A8E"/>
    <w:rsid w:val="00346CC2"/>
    <w:rsid w:val="0036018C"/>
    <w:rsid w:val="0036181E"/>
    <w:rsid w:val="003628A6"/>
    <w:rsid w:val="00371981"/>
    <w:rsid w:val="003723EF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52E00"/>
    <w:rsid w:val="00465E05"/>
    <w:rsid w:val="00466582"/>
    <w:rsid w:val="00466EE9"/>
    <w:rsid w:val="00477E7F"/>
    <w:rsid w:val="004821CB"/>
    <w:rsid w:val="00487124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93176"/>
    <w:rsid w:val="005A5B80"/>
    <w:rsid w:val="005B2D18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F3"/>
    <w:rsid w:val="006716FB"/>
    <w:rsid w:val="00673123"/>
    <w:rsid w:val="0067376B"/>
    <w:rsid w:val="00673E63"/>
    <w:rsid w:val="00674875"/>
    <w:rsid w:val="006814B9"/>
    <w:rsid w:val="00697BEB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E49"/>
    <w:rsid w:val="007E187E"/>
    <w:rsid w:val="00806F68"/>
    <w:rsid w:val="00810502"/>
    <w:rsid w:val="00810EC1"/>
    <w:rsid w:val="0083123B"/>
    <w:rsid w:val="0083517D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5071A"/>
    <w:rsid w:val="0095669B"/>
    <w:rsid w:val="0095741A"/>
    <w:rsid w:val="00973DFF"/>
    <w:rsid w:val="009774B1"/>
    <w:rsid w:val="00980879"/>
    <w:rsid w:val="009871C0"/>
    <w:rsid w:val="00996808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D4807"/>
    <w:rsid w:val="00AE210C"/>
    <w:rsid w:val="00AE602A"/>
    <w:rsid w:val="00AF7284"/>
    <w:rsid w:val="00B0369A"/>
    <w:rsid w:val="00B05C44"/>
    <w:rsid w:val="00B416F5"/>
    <w:rsid w:val="00B42E12"/>
    <w:rsid w:val="00B449E6"/>
    <w:rsid w:val="00B50F61"/>
    <w:rsid w:val="00B66FE1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A7163"/>
    <w:rsid w:val="00CB4F78"/>
    <w:rsid w:val="00CD0FA4"/>
    <w:rsid w:val="00CD3D5D"/>
    <w:rsid w:val="00CE34F1"/>
    <w:rsid w:val="00CE415F"/>
    <w:rsid w:val="00D154F4"/>
    <w:rsid w:val="00D17587"/>
    <w:rsid w:val="00D2213D"/>
    <w:rsid w:val="00D24171"/>
    <w:rsid w:val="00D247B8"/>
    <w:rsid w:val="00D31E81"/>
    <w:rsid w:val="00D47AEF"/>
    <w:rsid w:val="00D740DF"/>
    <w:rsid w:val="00D75E78"/>
    <w:rsid w:val="00D90621"/>
    <w:rsid w:val="00DA5CBD"/>
    <w:rsid w:val="00DB3D43"/>
    <w:rsid w:val="00DC1DBF"/>
    <w:rsid w:val="00DF5F70"/>
    <w:rsid w:val="00DF69BF"/>
    <w:rsid w:val="00E04D36"/>
    <w:rsid w:val="00E14CB4"/>
    <w:rsid w:val="00E2257C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D08E6"/>
    <w:rsid w:val="00EE01BB"/>
    <w:rsid w:val="00EE5DD5"/>
    <w:rsid w:val="00EF5DA1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3FE6"/>
    <w:rsid w:val="3298542B"/>
    <w:rsid w:val="49D6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hAnsi="Aptos Display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ascii="Aptos Display" w:hAnsi="Aptos Display" w:cs="DokChampa (Headings CS)" w:eastAsiaTheme="majorEastAsia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0B46"/>
    <w:rPr>
      <w:rFonts w:ascii="Impact" w:hAnsi="Impact" w:eastAsiaTheme="majorEastAsia" w:cstheme="majorBidi"/>
      <w:color w:val="1E1E1E" w:themeColor="text1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30861"/>
    <w:rPr>
      <w:rFonts w:ascii="Inter" w:hAnsi="Inter" w:cs="DokChampa (Headings CS)" w:eastAsiaTheme="majorEastAsia"/>
      <w:b/>
      <w:color w:val="1E1E1E" w:themeColor="text1"/>
      <w:spacing w:val="-2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rsid w:val="00B0369A"/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B0369A"/>
    <w:rPr>
      <w:rFonts w:asciiTheme="majorHAnsi" w:hAnsiTheme="majorHAnsi" w:eastAsiaTheme="majorEastAsia" w:cstheme="majorBidi"/>
      <w:color w:val="7700F7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sid w:val="00B0369A"/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rsid w:val="00B0369A"/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sid w:val="00B0369A"/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hAnsi="Aptos Display" w:cs="DokChampa (Headings CS)" w:eastAsiaTheme="majorEastAsia"/>
      <w:b/>
      <w:color w:val="1F4E79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rsid w:val="002F7E9B"/>
    <w:rPr>
      <w:rFonts w:ascii="Impact" w:hAnsi="Impact" w:cs="DokChampa (Headings CS)" w:eastAsiaTheme="majorEastAsia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styleId="HeaderChar" w:customStyle="1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styleId="QuoteChar" w:customStyle="1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color="A34CFF" w:themeColor="accent1" w:sz="4" w:space="10"/>
        <w:bottom w:val="single" w:color="A34CFF" w:themeColor="accent1" w:sz="4" w:space="10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styleId="Subtitle1" w:customStyle="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styleId="Body" w:customStyle="1">
    <w:name w:val="Body"/>
    <w:basedOn w:val="Normal"/>
    <w:qFormat/>
    <w:rsid w:val="00C44A40"/>
  </w:style>
  <w:style w:type="paragraph" w:styleId="Subheading1" w:customStyle="1">
    <w:name w:val="Subheading 1"/>
    <w:basedOn w:val="Body"/>
    <w:qFormat/>
    <w:rsid w:val="002C2306"/>
    <w:rPr>
      <w:rFonts w:ascii="Impact" w:hAnsi="Impact"/>
      <w:sz w:val="32"/>
    </w:rPr>
  </w:style>
  <w:style w:type="paragraph" w:styleId="BodySubheading2" w:customStyle="1">
    <w:name w:val="Body Subheading 2"/>
    <w:basedOn w:val="Body"/>
    <w:qFormat/>
    <w:rsid w:val="00790E49"/>
    <w:rPr>
      <w:b/>
    </w:rPr>
  </w:style>
  <w:style w:type="paragraph" w:styleId="BodyBold" w:customStyle="1">
    <w:name w:val="Body Bold"/>
    <w:basedOn w:val="BodySubheading2"/>
    <w:qFormat/>
    <w:rsid w:val="00980879"/>
  </w:style>
  <w:style w:type="paragraph" w:styleId="BodySubheading1" w:customStyle="1">
    <w:name w:val="Body Subheading 1"/>
    <w:basedOn w:val="BodySubheading2"/>
    <w:qFormat/>
    <w:rsid w:val="00EA590A"/>
    <w:rPr>
      <w:sz w:val="24"/>
    </w:rPr>
  </w:style>
  <w:style w:type="paragraph" w:styleId="BodyItalics" w:customStyle="1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wacimagecontainer" w:customStyle="1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footer" Target="footer3.xml" Id="rId17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xmlns:thm15="http://schemas.microsoft.com/office/thememl/2012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48E606ED-CFD3-4581-B53E-A5D2722A513A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FDM_DocTemplate_A4_Print_White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1234</dc:creator>
  <keywords/>
  <dc:description/>
  <lastModifiedBy>Nina Cussac</lastModifiedBy>
  <revision>22</revision>
  <dcterms:created xsi:type="dcterms:W3CDTF">2024-05-16T17:27:00.0000000Z</dcterms:created>
  <dcterms:modified xsi:type="dcterms:W3CDTF">2026-10-22T13:53:41.3636638Z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</Properties>
</file>