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0F" w:rsidRDefault="008C6495" w:rsidP="00480FC6">
      <w:pPr>
        <w:pStyle w:val="ListParagraph"/>
        <w:numPr>
          <w:ilvl w:val="0"/>
          <w:numId w:val="2"/>
        </w:numPr>
      </w:pPr>
      <w:r>
        <w:t>Introduction</w:t>
      </w:r>
    </w:p>
    <w:p w:rsidR="00B72C0F" w:rsidRDefault="00B72C0F"/>
    <w:p w:rsidR="00B72C0F" w:rsidRDefault="008C6495" w:rsidP="00480FC6">
      <w:pPr>
        <w:ind w:left="1080"/>
      </w:pPr>
      <w:r>
        <w:t xml:space="preserve">The </w:t>
      </w:r>
      <w:proofErr w:type="spellStart"/>
      <w:r>
        <w:t>AgeStructureNe</w:t>
      </w:r>
      <w:proofErr w:type="spellEnd"/>
      <w:r>
        <w:t xml:space="preserve"> GUI interface offers a user interface to allow easy access to </w:t>
      </w:r>
      <w:proofErr w:type="spellStart"/>
      <w:r>
        <w:t>simuPOP</w:t>
      </w:r>
      <w:proofErr w:type="spellEnd"/>
      <w:r>
        <w:t>-based simulations and the LDNe</w:t>
      </w:r>
      <w:r w:rsidR="00125BC2">
        <w:t>2</w:t>
      </w:r>
      <w:r>
        <w:t xml:space="preserve">-based </w:t>
      </w:r>
      <w:proofErr w:type="spellStart"/>
      <w:r>
        <w:t>Nb</w:t>
      </w:r>
      <w:proofErr w:type="spellEnd"/>
      <w:r>
        <w:t xml:space="preserve"> estimations provided by Tiago </w:t>
      </w:r>
      <w:proofErr w:type="spellStart"/>
      <w:r>
        <w:t>Antao's</w:t>
      </w:r>
      <w:proofErr w:type="spellEnd"/>
      <w:r>
        <w:t xml:space="preserve"> python program, </w:t>
      </w:r>
      <w:proofErr w:type="spellStart"/>
      <w:r>
        <w:t>AgeStrucureNe</w:t>
      </w:r>
      <w:proofErr w:type="spellEnd"/>
      <w:r>
        <w:t>, available at https://github.com/tiagoantao/AgeStructureNe.git</w:t>
      </w:r>
      <w:r w:rsidR="00BC1B72">
        <w:t xml:space="preserve">.  We also offer an interface for plotting </w:t>
      </w:r>
      <w:proofErr w:type="spellStart"/>
      <w:r w:rsidR="00BC1B72">
        <w:t>Nb</w:t>
      </w:r>
      <w:proofErr w:type="spellEnd"/>
      <w:r w:rsidR="00BC1B72">
        <w:t xml:space="preserve"> estimations, and regressions based on the estimations</w:t>
      </w:r>
      <w:r>
        <w:t xml:space="preserve">.  The original analyses based on </w:t>
      </w:r>
      <w:proofErr w:type="spellStart"/>
      <w:r>
        <w:t>Tiagos</w:t>
      </w:r>
      <w:proofErr w:type="spellEnd"/>
      <w:r>
        <w:t xml:space="preserve"> code, with their applications to many species are available in several publications, including [refs to </w:t>
      </w:r>
      <w:proofErr w:type="spellStart"/>
      <w:r>
        <w:t>AgeStructure</w:t>
      </w:r>
      <w:proofErr w:type="spellEnd"/>
      <w:r>
        <w:t xml:space="preserve"> Ne - based pubs].</w:t>
      </w:r>
    </w:p>
    <w:p w:rsidR="00B72C0F" w:rsidRDefault="00B72C0F" w:rsidP="00480FC6"/>
    <w:p w:rsidR="00BC1B72" w:rsidRDefault="00BC1B72" w:rsidP="00480FC6">
      <w:pPr>
        <w:ind w:left="1080"/>
      </w:pPr>
      <w:r>
        <w:t xml:space="preserve">The interface is divided into three parts, simulation, </w:t>
      </w:r>
      <w:proofErr w:type="spellStart"/>
      <w:r>
        <w:t>Nb</w:t>
      </w:r>
      <w:proofErr w:type="spellEnd"/>
      <w:r>
        <w:t xml:space="preserve"> estimation, and visualization.  The output from a simulation can be loaded into </w:t>
      </w:r>
      <w:proofErr w:type="gramStart"/>
      <w:r>
        <w:t xml:space="preserve">an </w:t>
      </w:r>
      <w:proofErr w:type="spellStart"/>
      <w:r>
        <w:t>Nb</w:t>
      </w:r>
      <w:proofErr w:type="spellEnd"/>
      <w:proofErr w:type="gramEnd"/>
      <w:r>
        <w:t xml:space="preserve"> estimation,</w:t>
      </w:r>
      <w:r w:rsidR="008C6495">
        <w:t xml:space="preserve"> and in turn, the output from an </w:t>
      </w:r>
      <w:proofErr w:type="spellStart"/>
      <w:r w:rsidR="008C6495">
        <w:t>Nb</w:t>
      </w:r>
      <w:proofErr w:type="spellEnd"/>
      <w:r w:rsidR="008C6495">
        <w:t xml:space="preserve"> estimation can be loaded into a visualization interface.  </w:t>
      </w:r>
    </w:p>
    <w:p w:rsidR="00BC1B72" w:rsidRDefault="00BC1B72"/>
    <w:p w:rsidR="00BC1B72" w:rsidRDefault="00BC1B72" w:rsidP="00480FC6">
      <w:pPr>
        <w:pStyle w:val="ListParagraph"/>
        <w:numPr>
          <w:ilvl w:val="0"/>
          <w:numId w:val="2"/>
        </w:numPr>
      </w:pPr>
      <w:r>
        <w:t>Installation</w:t>
      </w:r>
    </w:p>
    <w:p w:rsidR="00BC1B72" w:rsidRDefault="00BC1B72"/>
    <w:p w:rsidR="00BC1B72" w:rsidRDefault="00BC1B72" w:rsidP="00480FC6">
      <w:pPr>
        <w:ind w:left="1080"/>
      </w:pPr>
      <w:r>
        <w:t xml:space="preserve">The program can be downloaded from </w:t>
      </w:r>
      <w:hyperlink r:id="rId9"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06198B">
      <w:pPr>
        <w:pStyle w:val="ListParagraph"/>
        <w:numPr>
          <w:ilvl w:val="0"/>
          <w:numId w:val="2"/>
        </w:numPr>
      </w:pPr>
      <w:r>
        <w:t>Starting the program</w:t>
      </w:r>
    </w:p>
    <w:p w:rsidR="003B5F2C" w:rsidRDefault="003B5F2C"/>
    <w:p w:rsidR="003B5F2C" w:rsidRDefault="003B5F2C" w:rsidP="0006198B">
      <w:pPr>
        <w:ind w:left="1080"/>
      </w:pPr>
      <w:r>
        <w:t>The program is launched using python 2.7 or python 3.6, invoking the negui.py module.  Please see the README.md file for details on different ways to start the program.</w:t>
      </w:r>
    </w:p>
    <w:p w:rsidR="00480FC6" w:rsidRDefault="00480FC6"/>
    <w:p w:rsidR="003B5F2C" w:rsidRDefault="003B5F2C" w:rsidP="00480FC6">
      <w:pPr>
        <w:pStyle w:val="ListParagraph"/>
        <w:numPr>
          <w:ilvl w:val="0"/>
          <w:numId w:val="2"/>
        </w:numPr>
      </w:pPr>
      <w:r>
        <w:t>Loading interfaces</w:t>
      </w:r>
    </w:p>
    <w:p w:rsidR="0057474E" w:rsidRDefault="0057474E"/>
    <w:p w:rsidR="001D750F" w:rsidRDefault="0057474E" w:rsidP="0006198B">
      <w:pPr>
        <w:ind w:left="1080"/>
        <w:rPr>
          <w:noProof/>
          <w:lang w:eastAsia="en-US" w:bidi="ar-SA"/>
        </w:rPr>
      </w:pPr>
      <w:r>
        <w:t xml:space="preserve">To load one or more of the three interfaces for performing simulations, </w:t>
      </w:r>
      <w:proofErr w:type="spellStart"/>
      <w:r>
        <w:t>Nb</w:t>
      </w:r>
      <w:proofErr w:type="spellEnd"/>
      <w:r>
        <w:t xml:space="preserve">/Ne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xml:space="preserve">.  You can load </w:t>
      </w:r>
      <w:proofErr w:type="gramStart"/>
      <w:r w:rsidR="00B71A13">
        <w:t>an</w:t>
      </w:r>
      <w:proofErr w:type="gramEnd"/>
      <w:r w:rsidR="00B71A13">
        <w:t xml:space="preserve"> number of interfaces and run them simultaneously, though running too many at once can tax your computers </w:t>
      </w:r>
      <w:proofErr w:type="spellStart"/>
      <w:r w:rsidR="00B71A13">
        <w:t>cpu</w:t>
      </w:r>
      <w:proofErr w:type="spellEnd"/>
      <w:r w:rsidR="00B71A13">
        <w:t xml:space="preserve"> and/or memory capacity.</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65C88540" wp14:editId="58ACC370">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0">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r>
        <w:t xml:space="preserve">Figure </w:t>
      </w:r>
      <w:r w:rsidR="00D15452">
        <w:fldChar w:fldCharType="begin"/>
      </w:r>
      <w:r w:rsidR="00D15452">
        <w:instrText xml:space="preserve"> SEQ Figure \* ARABIC </w:instrText>
      </w:r>
      <w:r w:rsidR="00D15452">
        <w:fldChar w:fldCharType="separate"/>
      </w:r>
      <w:r w:rsidR="00AA7E59">
        <w:rPr>
          <w:noProof/>
        </w:rPr>
        <w:t>1</w:t>
      </w:r>
      <w:r w:rsidR="00D15452">
        <w:rPr>
          <w:noProof/>
        </w:rPr>
        <w:fldChar w:fldCharType="end"/>
      </w:r>
      <w:r>
        <w:t xml:space="preserve"> </w:t>
      </w:r>
      <w:proofErr w:type="gramStart"/>
      <w:r>
        <w:t>Adding</w:t>
      </w:r>
      <w:proofErr w:type="gramEnd"/>
      <w:r>
        <w:t xml:space="preserve"> an interface</w:t>
      </w:r>
    </w:p>
    <w:p w:rsidR="00B71A13" w:rsidRDefault="00B71A13"/>
    <w:p w:rsidR="00113182" w:rsidRDefault="00B71A13" w:rsidP="0006198B">
      <w:pPr>
        <w:pStyle w:val="ListParagraph"/>
        <w:numPr>
          <w:ilvl w:val="0"/>
          <w:numId w:val="2"/>
        </w:numPr>
        <w:ind w:left="1080"/>
      </w:pPr>
      <w:r>
        <w:t>Running a simulation.</w:t>
      </w:r>
      <w:r w:rsidR="001338AC">
        <w:t xml:space="preserve">  L</w:t>
      </w:r>
      <w:r>
        <w:t xml:space="preserve">oad a simulation interface with the add menu (fig. 1), and set the </w:t>
      </w:r>
      <w:proofErr w:type="spellStart"/>
      <w:r>
        <w:t>paramaters</w:t>
      </w:r>
      <w:proofErr w:type="spellEnd"/>
      <w:r>
        <w:t xml:space="preserve"> with the provided controls.</w:t>
      </w:r>
      <w:r w:rsidR="00113182">
        <w:t xml:space="preserve">  Steps for p</w:t>
      </w:r>
      <w:r w:rsidR="00480FC6">
        <w:t xml:space="preserve">reparing </w:t>
      </w:r>
      <w:r w:rsidR="00113182">
        <w:t xml:space="preserve">the interface to run a simulation follow. </w:t>
      </w:r>
      <w:r>
        <w:t xml:space="preserve">  </w:t>
      </w:r>
    </w:p>
    <w:p w:rsidR="00113182" w:rsidRDefault="00113182"/>
    <w:p w:rsidR="00B71A13" w:rsidRDefault="00113182" w:rsidP="0006198B">
      <w:pPr>
        <w:pStyle w:val="ListParagraph"/>
        <w:numPr>
          <w:ilvl w:val="2"/>
          <w:numId w:val="2"/>
        </w:numPr>
      </w:pPr>
      <w:r>
        <w:t xml:space="preserve">Load a configuration file.  </w:t>
      </w:r>
      <w:r w:rsidR="00B71A13">
        <w:t>The in</w:t>
      </w:r>
      <w:r>
        <w:t>i</w:t>
      </w:r>
      <w:r w:rsidR="00B71A13">
        <w:t>tial simulation interface requires the user</w:t>
      </w:r>
      <w:r>
        <w:t xml:space="preserve"> to load a configuration file (</w:t>
      </w:r>
      <w:r w:rsidR="00B71A13">
        <w:t xml:space="preserve">fig. 2).  The user can load a configuration file </w:t>
      </w:r>
      <w:r>
        <w:t xml:space="preserve">provided </w:t>
      </w:r>
      <w:r>
        <w:lastRenderedPageBreak/>
        <w:t xml:space="preserve">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06198B">
      <w:pPr>
        <w:pStyle w:val="ListParagraph"/>
        <w:numPr>
          <w:ilvl w:val="2"/>
          <w:numId w:val="2"/>
        </w:numPr>
      </w:pPr>
      <w:r>
        <w:t xml:space="preserve">Adjust the simulation parameters.  </w:t>
      </w:r>
      <w:r w:rsidR="00B71A13">
        <w:t xml:space="preserve"> </w:t>
      </w:r>
      <w:r>
        <w:t>With a configuration file loaded (fig. 3) you can change the values in the editable controls.</w:t>
      </w:r>
      <w:r w:rsidR="00480FC6">
        <w:t xml:space="preserve">  These are detailed below in the “Simulation parameters” section.</w:t>
      </w:r>
    </w:p>
    <w:p w:rsidR="00480FC6" w:rsidRDefault="00480FC6" w:rsidP="00480FC6">
      <w:pPr>
        <w:pStyle w:val="ListParagraph"/>
      </w:pPr>
    </w:p>
    <w:p w:rsidR="00480FC6" w:rsidRDefault="00480FC6" w:rsidP="0006198B">
      <w:pPr>
        <w:pStyle w:val="ListParagraph"/>
        <w:numPr>
          <w:ilvl w:val="2"/>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1338AC" w:rsidRDefault="001338AC" w:rsidP="001338AC">
      <w:pPr>
        <w:pStyle w:val="ListParagraph"/>
      </w:pPr>
    </w:p>
    <w:p w:rsidR="001338AC" w:rsidRDefault="001338AC" w:rsidP="001338AC">
      <w:pPr>
        <w:pStyle w:val="ListParagraph"/>
        <w:numPr>
          <w:ilvl w:val="0"/>
          <w:numId w:val="2"/>
        </w:numPr>
      </w:pPr>
      <w:r>
        <w:t xml:space="preserve">Simulation </w:t>
      </w:r>
      <w:r w:rsidR="00D473D5">
        <w:t>Input</w:t>
      </w:r>
      <w:r>
        <w:t xml:space="preserve">.  The simulation inter face </w:t>
      </w:r>
      <w:r w:rsidR="00D473D5">
        <w:t xml:space="preserve">has </w:t>
      </w:r>
      <w:r>
        <w:t xml:space="preserve">5 </w:t>
      </w:r>
      <w:proofErr w:type="spellStart"/>
      <w:r>
        <w:t>subframes</w:t>
      </w:r>
      <w:proofErr w:type="spellEnd"/>
      <w:r w:rsidR="00D473D5">
        <w:t xml:space="preserve"> that divide the parameters by category.</w:t>
      </w:r>
    </w:p>
    <w:p w:rsidR="001338AC" w:rsidRDefault="00CB4458" w:rsidP="001338AC">
      <w:pPr>
        <w:pStyle w:val="ListParagraph"/>
        <w:numPr>
          <w:ilvl w:val="1"/>
          <w:numId w:val="2"/>
        </w:numPr>
      </w:pPr>
      <w:r>
        <w:t xml:space="preserve">The </w:t>
      </w:r>
      <w:r w:rsidR="001338AC">
        <w:t>Load/Run</w:t>
      </w:r>
      <w:r w:rsidR="001D750F">
        <w:t xml:space="preserve"> (fig.  2)</w:t>
      </w:r>
      <w:r>
        <w:t xml:space="preserve"> </w:t>
      </w:r>
      <w:proofErr w:type="gramStart"/>
      <w:r>
        <w:t>section</w:t>
      </w:r>
      <w:proofErr w:type="gramEnd"/>
      <w:r>
        <w:t xml:space="preserve"> of the Simulation interface offers the following parameters.</w:t>
      </w:r>
    </w:p>
    <w:p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60288" behindDoc="0" locked="0" layoutInCell="1" allowOverlap="1" wp14:anchorId="28270F97" wp14:editId="7D8DCBE6">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1D750F" w:rsidRPr="00F54DFA" w:rsidRDefault="001D750F" w:rsidP="001D750F">
                            <w:pPr>
                              <w:pStyle w:val="Caption"/>
                              <w:rPr>
                                <w:rFonts w:cs="Mangal"/>
                                <w:noProof/>
                                <w:szCs w:val="21"/>
                              </w:rPr>
                            </w:pPr>
                            <w:r>
                              <w:t xml:space="preserve">Figure </w:t>
                            </w:r>
                            <w:r w:rsidR="00D15452">
                              <w:fldChar w:fldCharType="begin"/>
                            </w:r>
                            <w:r w:rsidR="00D15452">
                              <w:instrText xml:space="preserve"> SEQ Figure \* ARABIC </w:instrText>
                            </w:r>
                            <w:r w:rsidR="00D15452">
                              <w:fldChar w:fldCharType="separate"/>
                            </w:r>
                            <w:r w:rsidR="00AA7E59">
                              <w:rPr>
                                <w:noProof/>
                              </w:rPr>
                              <w:t>2</w:t>
                            </w:r>
                            <w:r w:rsidR="00D15452">
                              <w:rPr>
                                <w:noProof/>
                              </w:rPr>
                              <w:fldChar w:fldCharType="end"/>
                            </w:r>
                            <w:r>
                              <w:t xml:space="preserve"> Simulation</w:t>
                            </w:r>
                            <w:r w:rsidR="005B59B6">
                              <w:t xml:space="preserve"> interface</w:t>
                            </w:r>
                            <w:r>
                              <w:t xml:space="preserve">, Load/Run </w:t>
                            </w:r>
                            <w:r w:rsidR="005B59B6">
                              <w:t>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1D750F" w:rsidRPr="00F54DFA" w:rsidRDefault="001D750F" w:rsidP="001D750F">
                      <w:pPr>
                        <w:pStyle w:val="Caption"/>
                        <w:rPr>
                          <w:rFonts w:cs="Mangal"/>
                          <w:noProof/>
                          <w:szCs w:val="21"/>
                        </w:rPr>
                      </w:pPr>
                      <w:r>
                        <w:t xml:space="preserve">Figure </w:t>
                      </w:r>
                      <w:fldSimple w:instr=" SEQ Figure \* ARABIC ">
                        <w:r w:rsidR="00AA7E59">
                          <w:rPr>
                            <w:noProof/>
                          </w:rPr>
                          <w:t>2</w:t>
                        </w:r>
                      </w:fldSimple>
                      <w:r>
                        <w:t xml:space="preserve"> Simulation</w:t>
                      </w:r>
                      <w:r w:rsidR="005B59B6">
                        <w:t xml:space="preserve"> interface</w:t>
                      </w:r>
                      <w:r>
                        <w:t xml:space="preserve">, Load/Run </w:t>
                      </w:r>
                      <w:r w:rsidR="005B59B6">
                        <w:t>section.</w:t>
                      </w:r>
                    </w:p>
                  </w:txbxContent>
                </v:textbox>
              </v:shape>
            </w:pict>
          </mc:Fallback>
        </mc:AlternateContent>
      </w:r>
      <w:r>
        <w:rPr>
          <w:noProof/>
          <w:lang w:eastAsia="en-US" w:bidi="ar-SA"/>
        </w:rPr>
        <w:drawing>
          <wp:anchor distT="91440" distB="91440" distL="114300" distR="114300" simplePos="0" relativeHeight="251658240" behindDoc="0" locked="0" layoutInCell="1" allowOverlap="1" wp14:anchorId="56F1FBD0" wp14:editId="1C562D5C">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1">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r>
        <w:rPr>
          <w:i/>
        </w:rPr>
        <w:t>P</w:t>
      </w:r>
      <w:r w:rsidR="001338AC" w:rsidRPr="001338AC">
        <w:rPr>
          <w:i/>
        </w:rPr>
        <w:t>rocesses</w:t>
      </w:r>
      <w:r w:rsidR="001338AC">
        <w:t xml:space="preserve">, with valid values between 1 and the total number </w:t>
      </w:r>
      <w:proofErr w:type="gramStart"/>
      <w:r w:rsidR="001338AC">
        <w:t>of  virtual</w:t>
      </w:r>
      <w:proofErr w:type="gramEnd"/>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p>
    <w:p w:rsidR="001338AC" w:rsidRDefault="001338AC" w:rsidP="001338AC">
      <w:pPr>
        <w:pStyle w:val="ListParagraph"/>
        <w:numPr>
          <w:ilvl w:val="2"/>
          <w:numId w:val="2"/>
        </w:numPr>
      </w:pPr>
      <w:r>
        <w:rPr>
          <w:i/>
        </w:rPr>
        <w:t>Configur</w:t>
      </w:r>
      <w:r w:rsidR="00147FB3">
        <w:rPr>
          <w:i/>
        </w:rPr>
        <w:t>a</w:t>
      </w:r>
      <w:r>
        <w:rPr>
          <w:i/>
        </w:rPr>
        <w:t>tion File</w:t>
      </w:r>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r>
        <w:rPr>
          <w:i/>
        </w:rPr>
        <w:t xml:space="preserve">Output </w:t>
      </w:r>
      <w:r w:rsidRPr="00147FB3">
        <w:rPr>
          <w:i/>
        </w:rPr>
        <w:t>directory</w:t>
      </w:r>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r>
        <w:rPr>
          <w:i/>
        </w:rPr>
        <w:t>Output files base name.</w:t>
      </w:r>
      <w:r>
        <w:t xml:space="preserve">  You can type in a base name for the simulation output</w:t>
      </w:r>
      <w:r w:rsidR="005B59B6">
        <w:t xml:space="preserve"> files.  The simulation will prepend this to the *.</w:t>
      </w:r>
      <w:proofErr w:type="spellStart"/>
      <w:r w:rsidR="005B59B6">
        <w:t>genepop</w:t>
      </w:r>
      <w:proofErr w:type="spellEnd"/>
      <w:r w:rsidR="005B59B6">
        <w:t>,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5B59B6" w:rsidP="005B59B6">
      <w:pPr>
        <w:pStyle w:val="ListParagraph"/>
        <w:numPr>
          <w:ilvl w:val="1"/>
          <w:numId w:val="2"/>
        </w:numPr>
      </w:pPr>
      <w:r>
        <w:t>Configuration Info (fig. 3). This group if for information only and has no settable parameters.</w:t>
      </w:r>
    </w:p>
    <w:p w:rsidR="005B59B6" w:rsidRDefault="005B59B6" w:rsidP="005B59B6">
      <w:pPr>
        <w:ind w:left="720"/>
      </w:pPr>
    </w:p>
    <w:p w:rsidR="005B59B6" w:rsidRDefault="005B59B6" w:rsidP="005B59B6">
      <w:pPr>
        <w:keepNext/>
        <w:ind w:left="720"/>
      </w:pPr>
      <w:r>
        <w:lastRenderedPageBreak/>
        <w:t xml:space="preserve">                                       </w:t>
      </w:r>
      <w:r>
        <w:rPr>
          <w:noProof/>
          <w:lang w:eastAsia="en-US" w:bidi="ar-SA"/>
        </w:rPr>
        <w:drawing>
          <wp:anchor distT="182880" distB="182880" distL="114300" distR="114300" simplePos="0" relativeHeight="251661312" behindDoc="0" locked="0" layoutInCell="1" allowOverlap="1" wp14:anchorId="21B9B24A" wp14:editId="6BF98571">
            <wp:simplePos x="0" y="0"/>
            <wp:positionH relativeFrom="column">
              <wp:posOffset>2023110</wp:posOffset>
            </wp:positionH>
            <wp:positionV relativeFrom="paragraph">
              <wp:posOffset>0</wp:posOffset>
            </wp:positionV>
            <wp:extent cx="2304288" cy="758952"/>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2">
                      <a:extLst>
                        <a:ext uri="{28A0092B-C50C-407E-A947-70E740481C1C}">
                          <a14:useLocalDpi xmlns:a14="http://schemas.microsoft.com/office/drawing/2010/main" val="0"/>
                        </a:ext>
                      </a:extLst>
                    </a:blip>
                    <a:stretch>
                      <a:fillRect/>
                    </a:stretch>
                  </pic:blipFill>
                  <pic:spPr>
                    <a:xfrm>
                      <a:off x="0" y="0"/>
                      <a:ext cx="2304288" cy="758952"/>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rsidR="00D15452">
        <w:fldChar w:fldCharType="begin"/>
      </w:r>
      <w:r w:rsidR="00D15452">
        <w:instrText xml:space="preserve"> SEQ Figure \* ARABIC </w:instrText>
      </w:r>
      <w:r w:rsidR="00D15452">
        <w:fldChar w:fldCharType="separate"/>
      </w:r>
      <w:r w:rsidR="00AA7E59">
        <w:rPr>
          <w:noProof/>
        </w:rPr>
        <w:t>3</w:t>
      </w:r>
      <w:r w:rsidR="00D15452">
        <w:rPr>
          <w:noProof/>
        </w:rPr>
        <w:fldChar w:fldCharType="end"/>
      </w:r>
      <w:r>
        <w:t xml:space="preserve"> Simulation interface, Configuration info</w:t>
      </w:r>
    </w:p>
    <w:p w:rsidR="005B59B6" w:rsidRDefault="005B59B6" w:rsidP="005B59B6">
      <w:pPr>
        <w:keepNext/>
        <w:ind w:left="720"/>
      </w:pPr>
    </w:p>
    <w:p w:rsidR="005B59B6" w:rsidRDefault="005B59B6" w:rsidP="005B59B6">
      <w:pPr>
        <w:pStyle w:val="ListParagraph"/>
        <w:numPr>
          <w:ilvl w:val="2"/>
          <w:numId w:val="2"/>
        </w:numPr>
      </w:pPr>
      <w:r>
        <w:rPr>
          <w:i/>
        </w:rPr>
        <w:t xml:space="preserve">Configuration File. </w:t>
      </w:r>
      <w:r>
        <w:t>This gives the file name of the loaded configuration file.</w:t>
      </w:r>
    </w:p>
    <w:p w:rsidR="005B59B6" w:rsidRDefault="005B59B6" w:rsidP="005B59B6">
      <w:pPr>
        <w:pStyle w:val="ListParagraph"/>
        <w:numPr>
          <w:ilvl w:val="2"/>
          <w:numId w:val="2"/>
        </w:numPr>
      </w:pPr>
      <w:r>
        <w:rPr>
          <w:i/>
        </w:rPr>
        <w:t>Model.</w:t>
      </w:r>
      <w:r>
        <w:t xml:space="preserve"> This gives the name of the model parameterized by the configuration file.  In our example configuration files, the model name is usually a species common name.</w:t>
      </w:r>
    </w:p>
    <w:p w:rsidR="005B59B6" w:rsidRDefault="00ED265E" w:rsidP="005B59B6">
      <w:pPr>
        <w:pStyle w:val="ListParagraph"/>
        <w:numPr>
          <w:ilvl w:val="1"/>
          <w:numId w:val="2"/>
        </w:numPr>
      </w:pPr>
      <w:r>
        <w:rPr>
          <w:noProof/>
          <w:lang w:eastAsia="en-US" w:bidi="ar-SA"/>
        </w:rPr>
        <w:drawing>
          <wp:anchor distT="182880" distB="182880" distL="114300" distR="114300" simplePos="0" relativeHeight="251662336" behindDoc="0" locked="0" layoutInCell="1" allowOverlap="1" wp14:anchorId="2B04D614" wp14:editId="73957B87">
            <wp:simplePos x="0" y="0"/>
            <wp:positionH relativeFrom="column">
              <wp:posOffset>1746885</wp:posOffset>
            </wp:positionH>
            <wp:positionV relativeFrom="paragraph">
              <wp:posOffset>362585</wp:posOffset>
            </wp:positionV>
            <wp:extent cx="4388485" cy="35883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3">
                      <a:extLst>
                        <a:ext uri="{28A0092B-C50C-407E-A947-70E740481C1C}">
                          <a14:useLocalDpi xmlns:a14="http://schemas.microsoft.com/office/drawing/2010/main" val="0"/>
                        </a:ext>
                      </a:extLst>
                    </a:blip>
                    <a:stretch>
                      <a:fillRect/>
                    </a:stretch>
                  </pic:blipFill>
                  <pic:spPr>
                    <a:xfrm>
                      <a:off x="0" y="0"/>
                      <a:ext cx="4388485" cy="3588385"/>
                    </a:xfrm>
                    <a:prstGeom prst="rect">
                      <a:avLst/>
                    </a:prstGeom>
                  </pic:spPr>
                </pic:pic>
              </a:graphicData>
            </a:graphic>
            <wp14:sizeRelH relativeFrom="margin">
              <wp14:pctWidth>0</wp14:pctWidth>
            </wp14:sizeRelH>
            <wp14:sizeRelV relativeFrom="margin">
              <wp14:pctHeight>0</wp14:pctHeight>
            </wp14:sizeRelV>
          </wp:anchor>
        </w:drawing>
      </w:r>
      <w:r w:rsidR="00CB4458">
        <w:t xml:space="preserve">The </w:t>
      </w:r>
      <w:r>
        <w:t xml:space="preserve">Population </w:t>
      </w:r>
      <w:r w:rsidR="00CB4458">
        <w:t xml:space="preserve">section </w:t>
      </w:r>
      <w:r>
        <w:t>(fig. 4)</w:t>
      </w:r>
      <w:r w:rsidR="00CB4458">
        <w:t xml:space="preserve"> offers the following parameters</w:t>
      </w:r>
      <w:r>
        <w:t>.</w:t>
      </w:r>
    </w:p>
    <w:p w:rsidR="00ED265E" w:rsidRDefault="00ED265E" w:rsidP="00ED265E">
      <w:pPr>
        <w:pStyle w:val="ListParagraph"/>
      </w:pPr>
      <w:r>
        <w:t xml:space="preserve">                        </w:t>
      </w:r>
    </w:p>
    <w:p w:rsidR="00ED265E" w:rsidRDefault="00ED265E" w:rsidP="00ED265E">
      <w:pPr>
        <w:pStyle w:val="ListParagraph"/>
      </w:pPr>
    </w:p>
    <w:p w:rsidR="00ED265E" w:rsidRDefault="00ED265E" w:rsidP="00ED265E">
      <w:r>
        <w:rPr>
          <w:noProof/>
          <w:lang w:eastAsia="en-US" w:bidi="ar-SA"/>
        </w:rPr>
        <mc:AlternateContent>
          <mc:Choice Requires="wps">
            <w:drawing>
              <wp:anchor distT="0" distB="0" distL="114300" distR="114300" simplePos="0" relativeHeight="251664384" behindDoc="0" locked="0" layoutInCell="1" allowOverlap="1" wp14:anchorId="57C1D633" wp14:editId="42434D9A">
                <wp:simplePos x="0" y="0"/>
                <wp:positionH relativeFrom="column">
                  <wp:posOffset>1945005</wp:posOffset>
                </wp:positionH>
                <wp:positionV relativeFrom="paragraph">
                  <wp:posOffset>-476250</wp:posOffset>
                </wp:positionV>
                <wp:extent cx="401383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ED265E" w:rsidRPr="00B60857" w:rsidRDefault="00ED265E" w:rsidP="00ED265E">
                            <w:pPr>
                              <w:pStyle w:val="Caption"/>
                              <w:rPr>
                                <w:rFonts w:cs="Mangal"/>
                                <w:szCs w:val="21"/>
                              </w:rPr>
                            </w:pPr>
                            <w:r>
                              <w:t xml:space="preserve">Figure </w:t>
                            </w:r>
                            <w:r w:rsidR="00D15452">
                              <w:fldChar w:fldCharType="begin"/>
                            </w:r>
                            <w:r w:rsidR="00D15452">
                              <w:instrText xml:space="preserve"> SEQ Figure \* ARABIC </w:instrText>
                            </w:r>
                            <w:r w:rsidR="00D15452">
                              <w:fldChar w:fldCharType="separate"/>
                            </w:r>
                            <w:r w:rsidR="00AA7E59">
                              <w:rPr>
                                <w:noProof/>
                              </w:rPr>
                              <w:t>4</w:t>
                            </w:r>
                            <w:r w:rsidR="00D15452">
                              <w:rPr>
                                <w:noProof/>
                              </w:rPr>
                              <w:fldChar w:fldCharType="end"/>
                            </w:r>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margin-left:153.15pt;margin-top:-37.5pt;width:31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" stroked="f">
                <v:textbox style="mso-fit-shape-to-text:t" inset="0,0,0,0">
                  <w:txbxContent>
                    <w:p w:rsidR="00ED265E" w:rsidRPr="00B60857" w:rsidRDefault="00ED265E" w:rsidP="00ED265E">
                      <w:pPr>
                        <w:pStyle w:val="Caption"/>
                        <w:rPr>
                          <w:rFonts w:cs="Mangal"/>
                          <w:szCs w:val="21"/>
                        </w:rPr>
                      </w:pPr>
                      <w:r>
                        <w:t xml:space="preserve">Figure </w:t>
                      </w:r>
                      <w:fldSimple w:instr=" SEQ Figure \* ARABIC ">
                        <w:r w:rsidR="00AA7E59">
                          <w:rPr>
                            <w:noProof/>
                          </w:rPr>
                          <w:t>4</w:t>
                        </w:r>
                      </w:fldSimple>
                      <w:r>
                        <w:t>, Simulation interface, population section</w:t>
                      </w:r>
                    </w:p>
                  </w:txbxContent>
                </v:textbox>
              </v:shape>
            </w:pict>
          </mc:Fallback>
        </mc:AlternateContent>
      </w:r>
    </w:p>
    <w:p w:rsidR="00ED265E" w:rsidRDefault="00ED265E" w:rsidP="00ED265E">
      <w:pPr>
        <w:pStyle w:val="ListParagraph"/>
        <w:numPr>
          <w:ilvl w:val="2"/>
          <w:numId w:val="2"/>
        </w:numPr>
      </w:pPr>
      <w:r w:rsidRPr="00ED265E">
        <w:rPr>
          <w:i/>
        </w:rPr>
        <w:t>N0 (Newborns)</w:t>
      </w:r>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w:t>
      </w:r>
      <w:proofErr w:type="spellStart"/>
      <w:r>
        <w:t>Nb</w:t>
      </w:r>
      <w:proofErr w:type="spellEnd"/>
      <w:r>
        <w:t xml:space="preserve">, </w:t>
      </w:r>
      <w:proofErr w:type="spellStart"/>
      <w:r>
        <w:t>Nb</w:t>
      </w:r>
      <w:proofErr w:type="spellEnd"/>
      <w:r>
        <w:t>/</w:t>
      </w:r>
      <w:proofErr w:type="spellStart"/>
      <w:proofErr w:type="gramStart"/>
      <w:r>
        <w:t>Nc</w:t>
      </w:r>
      <w:proofErr w:type="spellEnd"/>
      <w:proofErr w:type="gramEnd"/>
      <w:r>
        <w:t>, survival rates,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w:t>
      </w:r>
      <w:proofErr w:type="spellStart"/>
      <w:r>
        <w:t>Nb</w:t>
      </w:r>
      <w:proofErr w:type="spellEnd"/>
      <w:proofErr w:type="gramEnd"/>
      <w:r>
        <w:t xml:space="preserve"> divided by </w:t>
      </w:r>
      <w:proofErr w:type="spellStart"/>
      <w:r>
        <w:t>Nb</w:t>
      </w:r>
      <w:proofErr w:type="spellEnd"/>
      <w:r>
        <w:t>/</w:t>
      </w:r>
      <w:proofErr w:type="spellStart"/>
      <w:r>
        <w:t>Nc</w:t>
      </w:r>
      <w:proofErr w:type="spellEnd"/>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D45436">
        <w:t xml:space="preserve">probability of </w:t>
      </w:r>
      <w:r w:rsidR="00704C64">
        <w:t>male</w:t>
      </w:r>
      <w:r w:rsidR="00D45436">
        <w:t xml:space="preserve"> birth</w:t>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to 1 – the probability of male birth</w:t>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lastRenderedPageBreak/>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Set N0=</w:t>
      </w:r>
      <w:proofErr w:type="spellStart"/>
      <w:r>
        <w:t>Nc</w:t>
      </w:r>
      <w:proofErr w:type="spellEnd"/>
      <w:r>
        <w:t>/</w:t>
      </w:r>
      <w:proofErr w:type="spellStart"/>
      <w:r>
        <w:t>cumulative_proportion</w:t>
      </w:r>
      <w:proofErr w:type="spellEnd"/>
      <w:r>
        <w:t>, rounding it to the nearest integer.</w:t>
      </w:r>
    </w:p>
    <w:p w:rsidR="0026629A" w:rsidRDefault="00841D40" w:rsidP="00ED265E">
      <w:pPr>
        <w:pStyle w:val="ListParagraph"/>
        <w:numPr>
          <w:ilvl w:val="2"/>
          <w:numId w:val="2"/>
        </w:numPr>
      </w:pPr>
      <w:proofErr w:type="spellStart"/>
      <w:r>
        <w:rPr>
          <w:i/>
        </w:rPr>
        <w:t>Nb</w:t>
      </w:r>
      <w:proofErr w:type="spellEnd"/>
      <w:r>
        <w:rPr>
          <w:i/>
        </w:rPr>
        <w:t>/</w:t>
      </w:r>
      <w:proofErr w:type="spellStart"/>
      <w:r>
        <w:rPr>
          <w:i/>
        </w:rPr>
        <w:t>Nc</w:t>
      </w:r>
      <w:proofErr w:type="spellEnd"/>
      <w:r w:rsidR="0026629A">
        <w:t xml:space="preserve"> is</w:t>
      </w:r>
      <w:r>
        <w:t xml:space="preserve"> the</w:t>
      </w:r>
      <w:r w:rsidR="0026629A">
        <w:t xml:space="preserve"> effective</w:t>
      </w:r>
      <w:r>
        <w:t xml:space="preserve"> number of breeders</w:t>
      </w:r>
      <w:r w:rsidR="0026629A">
        <w:t xml:space="preserve"> in one reproductive cycle</w:t>
      </w:r>
      <w:r>
        <w:t xml:space="preserve"> divided by the number of </w:t>
      </w:r>
      <w:r w:rsidR="00D55D3D">
        <w:t>cohort size</w:t>
      </w:r>
      <w:r w:rsidR="009D6714">
        <w:t xml:space="preserve"> (?).</w:t>
      </w:r>
    </w:p>
    <w:p w:rsidR="00AA7E59" w:rsidRDefault="0026629A" w:rsidP="00ED265E">
      <w:pPr>
        <w:pStyle w:val="ListParagraph"/>
        <w:numPr>
          <w:ilvl w:val="2"/>
          <w:numId w:val="2"/>
        </w:numPr>
      </w:pPr>
      <w:proofErr w:type="spellStart"/>
      <w:r>
        <w:rPr>
          <w:i/>
        </w:rPr>
        <w:t>Nb</w:t>
      </w:r>
      <w:proofErr w:type="spellEnd"/>
      <w:r>
        <w:rPr>
          <w:i/>
        </w:rPr>
        <w:t>/Ne</w:t>
      </w:r>
      <w:r>
        <w:t xml:space="preserve"> is the ratio of the effective number of breeders in one reproductive cycle to the </w:t>
      </w:r>
      <w:r>
        <w:t>effective</w:t>
      </w:r>
      <w:r>
        <w:t xml:space="preserve"> population</w:t>
      </w:r>
      <w:r>
        <w:t xml:space="preserve"> size per generation</w:t>
      </w:r>
      <w:r>
        <w:t>.</w:t>
      </w:r>
      <w:r w:rsidR="00CB4458">
        <w:t xml:space="preserve">  This value is not used in the simulation itself, but is written to the output </w:t>
      </w:r>
      <w:proofErr w:type="spellStart"/>
      <w:r w:rsidR="00CB4458">
        <w:t>genepop</w:t>
      </w:r>
      <w:proofErr w:type="spellEnd"/>
      <w:r w:rsidR="00CB4458">
        <w:t xml:space="preserve"> file, and can be used in the </w:t>
      </w:r>
      <w:proofErr w:type="spellStart"/>
      <w:r w:rsidR="00CB4458">
        <w:t>Nb</w:t>
      </w:r>
      <w:proofErr w:type="spellEnd"/>
      <w:r w:rsidR="00CB4458">
        <w:t xml:space="preserve"> estimation interface to make a bias correction in the </w:t>
      </w:r>
      <w:proofErr w:type="spellStart"/>
      <w:r w:rsidR="00CB4458">
        <w:t>LDNe</w:t>
      </w:r>
      <w:proofErr w:type="spellEnd"/>
      <w:r w:rsidR="00CB4458">
        <w:t xml:space="preserve"> estimation of </w:t>
      </w:r>
      <w:proofErr w:type="spellStart"/>
      <w:r w:rsidR="00CB4458">
        <w:t>Nb</w:t>
      </w:r>
      <w:proofErr w:type="spellEnd"/>
      <w:r w:rsidR="00CB4458">
        <w:t xml:space="preserve"> (see the section “</w:t>
      </w:r>
      <w:proofErr w:type="spellStart"/>
      <w:r w:rsidR="00CB4458">
        <w:t>Nb</w:t>
      </w:r>
      <w:proofErr w:type="spellEnd"/>
      <w:r w:rsidR="00CB4458">
        <w:t xml:space="preserve"> estimation input,” below).</w:t>
      </w:r>
      <w:r w:rsidR="00D55D3D">
        <w:t xml:space="preserve"> </w:t>
      </w:r>
    </w:p>
    <w:p w:rsidR="00605372" w:rsidRDefault="0026629A" w:rsidP="00605372">
      <w:pPr>
        <w:pStyle w:val="ListParagraph"/>
        <w:numPr>
          <w:ilvl w:val="2"/>
          <w:numId w:val="2"/>
        </w:numPr>
      </w:pPr>
      <w:proofErr w:type="spellStart"/>
      <w:r>
        <w:rPr>
          <w:i/>
        </w:rPr>
        <w:t>Nb</w:t>
      </w:r>
      <w:proofErr w:type="spellEnd"/>
      <w:r>
        <w:t xml:space="preserve"> is the </w:t>
      </w:r>
      <w:r>
        <w:t xml:space="preserve">effective number of breeders in one reproductive </w:t>
      </w:r>
      <w:proofErr w:type="spellStart"/>
      <w:r>
        <w:t>cycle</w:t>
      </w:r>
      <w:r>
        <w:t>.</w:t>
      </w:r>
      <w:proofErr w:type="spellEnd"/>
    </w:p>
    <w:p w:rsidR="001338AC" w:rsidRDefault="00CB4458" w:rsidP="00605372">
      <w:pPr>
        <w:pStyle w:val="ListParagraph"/>
        <w:numPr>
          <w:ilvl w:val="1"/>
          <w:numId w:val="2"/>
        </w:numPr>
      </w:pPr>
      <w:proofErr w:type="spellStart"/>
      <w:r w:rsidRPr="00605372">
        <w:rPr>
          <w:i/>
        </w:rPr>
        <w:t>Nb</w:t>
      </w:r>
      <w:proofErr w:type="spellEnd"/>
      <w:r w:rsidRPr="00605372">
        <w:rPr>
          <w:i/>
        </w:rPr>
        <w:t xml:space="preserve"> Tolerance </w:t>
      </w:r>
      <w:r>
        <w:t xml:space="preserve">is the proportion of the </w:t>
      </w:r>
      <w:proofErr w:type="spellStart"/>
      <w:r w:rsidRPr="00605372">
        <w:rPr>
          <w:i/>
        </w:rPr>
        <w:t>Nb</w:t>
      </w:r>
      <w:proofErr w:type="spellEnd"/>
      <w:r>
        <w:t xml:space="preserve"> parameter by which a new population is added to the simulation after at each reproductive cycle.  For example, if the </w:t>
      </w:r>
      <w:proofErr w:type="spellStart"/>
      <w:r w:rsidRPr="00605372">
        <w:rPr>
          <w:i/>
        </w:rPr>
        <w:t>Nb</w:t>
      </w:r>
      <w:proofErr w:type="spellEnd"/>
      <w:r w:rsidRPr="00605372">
        <w:rPr>
          <w:i/>
        </w:rPr>
        <w:t xml:space="preserve"> </w:t>
      </w:r>
      <w:r>
        <w:t xml:space="preserve">is set at 600, and the </w:t>
      </w:r>
      <w:proofErr w:type="spellStart"/>
      <w:r w:rsidRPr="00605372">
        <w:rPr>
          <w:i/>
        </w:rPr>
        <w:t>Nb</w:t>
      </w:r>
      <w:proofErr w:type="spellEnd"/>
      <w:r w:rsidRPr="00605372">
        <w:rPr>
          <w:i/>
        </w:rPr>
        <w:t xml:space="preserve"> Tolerance</w:t>
      </w:r>
      <w:r>
        <w:t xml:space="preserve"> is set at 0.02</w:t>
      </w:r>
      <w:r w:rsidR="00D64689">
        <w:t xml:space="preserve"> then populations created at each reproductive cycle (after the burn-in period, explained below), must have an </w:t>
      </w:r>
      <w:proofErr w:type="spellStart"/>
      <w:proofErr w:type="gramStart"/>
      <w:r w:rsidR="00D64689" w:rsidRPr="00605372">
        <w:rPr>
          <w:i/>
        </w:rPr>
        <w:t>Nb</w:t>
      </w:r>
      <w:proofErr w:type="spellEnd"/>
      <w:r w:rsidR="00D64689" w:rsidRPr="00605372">
        <w:rPr>
          <w:i/>
        </w:rPr>
        <w:t xml:space="preserve"> </w:t>
      </w:r>
      <w:r w:rsidR="00D64689">
        <w:t xml:space="preserve"> value</w:t>
      </w:r>
      <w:proofErr w:type="gramEnd"/>
      <w:r w:rsidR="00D64689">
        <w:t xml:space="preserve">, as calculated using the </w:t>
      </w:r>
      <w:r w:rsidR="00D64689">
        <w:t>parentage analysis without parents (</w:t>
      </w:r>
      <w:proofErr w:type="spellStart"/>
      <w:r w:rsidR="00D64689">
        <w:t>PwoP</w:t>
      </w:r>
      <w:proofErr w:type="spellEnd"/>
      <w:r w:rsidR="00D64689">
        <w:t>)</w:t>
      </w:r>
      <w:r w:rsidR="00D64689">
        <w:t xml:space="preserve"> procedure</w:t>
      </w:r>
      <w:r w:rsidR="00605372">
        <w:rPr>
          <w:rStyle w:val="FootnoteReference"/>
        </w:rPr>
        <w:footnoteReference w:id="1"/>
      </w:r>
      <w:r w:rsidR="00605372">
        <w:t>.</w:t>
      </w:r>
    </w:p>
    <w:p w:rsidR="00605372" w:rsidRPr="00605372" w:rsidRDefault="00605372" w:rsidP="00605372">
      <w:pPr>
        <w:pStyle w:val="ListParagraph"/>
        <w:numPr>
          <w:ilvl w:val="1"/>
          <w:numId w:val="2"/>
        </w:numPr>
      </w:pPr>
      <w:r>
        <w:rPr>
          <w:i/>
        </w:rPr>
        <w:t xml:space="preserve">Ages </w:t>
      </w:r>
      <w:r w:rsidR="002A41D3">
        <w:t xml:space="preserve">gives the number of age classes for the population to be simulated.  Note that this is disabled, and that the length of the lists for </w:t>
      </w:r>
      <w:r w:rsidR="002A41D3">
        <w:rPr>
          <w:i/>
        </w:rPr>
        <w:t xml:space="preserve">Fecundity </w:t>
      </w:r>
      <w:r w:rsidR="002A41D3">
        <w:t xml:space="preserve">and </w:t>
      </w:r>
      <w:r w:rsidR="002A41D3" w:rsidRPr="002A41D3">
        <w:rPr>
          <w:i/>
        </w:rPr>
        <w:t>Survival</w:t>
      </w:r>
      <w:r w:rsidR="002A41D3">
        <w:t xml:space="preserve"> values (see below) are set to length </w:t>
      </w:r>
      <w:r w:rsidR="002A41D3">
        <w:rPr>
          <w:i/>
        </w:rPr>
        <w:t>Ages</w:t>
      </w:r>
      <w:r w:rsidR="002A41D3">
        <w:t xml:space="preserve"> minus one for the former and </w:t>
      </w:r>
      <w:r w:rsidR="002A41D3">
        <w:rPr>
          <w:i/>
        </w:rPr>
        <w:t>Ages</w:t>
      </w:r>
      <w:r w:rsidR="002A41D3">
        <w:t xml:space="preserve"> minus two for the latter.</w:t>
      </w:r>
      <w:r w:rsidR="00FD7377">
        <w:t xml:space="preserve">  The age value and changes in these lists, therefore, need to be edited in either a life table or </w:t>
      </w:r>
      <w:r w:rsidR="003234BE">
        <w:t>configuration file (see the section “Manually editing life tables and configuration files.”</w:t>
      </w:r>
      <w:bookmarkStart w:id="0" w:name="_GoBack"/>
      <w:bookmarkEnd w:id="0"/>
    </w:p>
    <w:sectPr w:rsidR="00605372" w:rsidRPr="0060537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452" w:rsidRDefault="00D15452" w:rsidP="00605372">
      <w:r>
        <w:separator/>
      </w:r>
    </w:p>
  </w:endnote>
  <w:endnote w:type="continuationSeparator" w:id="0">
    <w:p w:rsidR="00D15452" w:rsidRDefault="00D15452"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452" w:rsidRDefault="00D15452" w:rsidP="00605372">
      <w:r>
        <w:separator/>
      </w:r>
    </w:p>
  </w:footnote>
  <w:footnote w:type="continuationSeparator" w:id="0">
    <w:p w:rsidR="00D15452" w:rsidRDefault="00D15452" w:rsidP="00605372">
      <w:r>
        <w:continuationSeparator/>
      </w:r>
    </w:p>
  </w:footnote>
  <w:footnote w:id="1">
    <w:p w:rsidR="00605372" w:rsidRDefault="00605372">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t>
      </w:r>
      <w:proofErr w:type="spellStart"/>
      <w:r w:rsidRPr="00605372">
        <w:rPr>
          <w:rFonts w:cs="Times New Roman"/>
          <w:szCs w:val="24"/>
        </w:rPr>
        <w:t>Waples</w:t>
      </w:r>
      <w:proofErr w:type="spellEnd"/>
      <w:r w:rsidRPr="00605372">
        <w:rPr>
          <w:rFonts w:cs="Times New Roman"/>
          <w:szCs w:val="24"/>
        </w:rPr>
        <w:t xml:space="preserve"> and Ryan K. </w:t>
      </w:r>
      <w:proofErr w:type="spellStart"/>
      <w:r w:rsidRPr="00605372">
        <w:rPr>
          <w:rFonts w:cs="Times New Roman"/>
          <w:szCs w:val="24"/>
        </w:rPr>
        <w:t>Waples</w:t>
      </w:r>
      <w:proofErr w:type="spellEnd"/>
      <w:r w:rsidRPr="00605372">
        <w:rPr>
          <w:rFonts w:cs="Times New Roman"/>
          <w:szCs w:val="24"/>
        </w:rPr>
        <w:t xml:space="preserve">,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6198B"/>
    <w:rsid w:val="000A6D12"/>
    <w:rsid w:val="000F1B6F"/>
    <w:rsid w:val="00113182"/>
    <w:rsid w:val="00125BC2"/>
    <w:rsid w:val="001338AC"/>
    <w:rsid w:val="00147FB3"/>
    <w:rsid w:val="001A5E2D"/>
    <w:rsid w:val="001D750F"/>
    <w:rsid w:val="0026629A"/>
    <w:rsid w:val="002A41D3"/>
    <w:rsid w:val="003234BE"/>
    <w:rsid w:val="0035434E"/>
    <w:rsid w:val="003A3441"/>
    <w:rsid w:val="003B5F2C"/>
    <w:rsid w:val="004414D1"/>
    <w:rsid w:val="00480FC6"/>
    <w:rsid w:val="0057474E"/>
    <w:rsid w:val="005B59B6"/>
    <w:rsid w:val="00605372"/>
    <w:rsid w:val="006A1869"/>
    <w:rsid w:val="00704C64"/>
    <w:rsid w:val="00841D40"/>
    <w:rsid w:val="00883811"/>
    <w:rsid w:val="008C6495"/>
    <w:rsid w:val="008D2C1D"/>
    <w:rsid w:val="009172A6"/>
    <w:rsid w:val="0096440C"/>
    <w:rsid w:val="009659EF"/>
    <w:rsid w:val="009D6714"/>
    <w:rsid w:val="00A96D2E"/>
    <w:rsid w:val="00AA7E59"/>
    <w:rsid w:val="00AF2581"/>
    <w:rsid w:val="00B51A6D"/>
    <w:rsid w:val="00B71A13"/>
    <w:rsid w:val="00B72C0F"/>
    <w:rsid w:val="00BC1B72"/>
    <w:rsid w:val="00CB4458"/>
    <w:rsid w:val="00D15452"/>
    <w:rsid w:val="00D45436"/>
    <w:rsid w:val="00D473D5"/>
    <w:rsid w:val="00D55D3D"/>
    <w:rsid w:val="00D64689"/>
    <w:rsid w:val="00ED265E"/>
    <w:rsid w:val="00FD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ithub.com/popgengui/negu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747C6-B0D5-475F-9FB6-CDC202ED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Windows User</cp:lastModifiedBy>
  <cp:revision>15</cp:revision>
  <cp:lastPrinted>2017-05-16T00:42:00Z</cp:lastPrinted>
  <dcterms:created xsi:type="dcterms:W3CDTF">2017-01-24T21:49:00Z</dcterms:created>
  <dcterms:modified xsi:type="dcterms:W3CDTF">2017-05-17T03:04:00Z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id="5qtH01P0"/&gt;&lt;style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