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Domains and Benchmark Tasks</w:t>
      </w:r>
    </w:p>
    <w:p>
      <w:pPr>
        <w:spacing w:after="200"/>
      </w:pPr>
      <w:r>
        <w:rPr>
          <w:b/>
          <w:color w:val="404040"/>
          <w:sz w:val="24"/>
        </w:rPr>
        <w:t>Current shared canvas coverage and recommended next domain</w:t>
      </w:r>
    </w:p>
    <w:p>
      <w:r>
        <w:t>This summary maps the requested software domains to the benchmarks in the current local catalog. The catalog contains 10 benchmarks and 2,934 tasks. The shared canvas review file contains 251 proposed candidates; those candidates still require acceptance. Research checked on 7 October 2026 also identified ScratchWorld, which is not yet in the local catalog.</w:t>
      </w:r>
    </w:p>
    <w:p>
      <w:pPr>
        <w:pStyle w:val="Heading1"/>
      </w:pPr>
      <w:r>
        <w:t>Current domain coverage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13"/>
        <w:gridCol w:w="2613"/>
        <w:gridCol w:w="2613"/>
        <w:gridCol w:w="2613"/>
      </w:tblGrid>
      <w:tr>
        <w:trPr>
          <w:tblHeader w:val="true"/>
        </w:trPr>
        <w:tc>
          <w:tcPr>
            <w:tcW w:type="dxa" w:w="2044"/>
            <w:shd w:fill="1F4E79"/>
            <w:tcMar>
              <w:top w:w="120" w:type="dxa"/>
              <w:start w:w="120" w:type="dxa"/>
              <w:bottom w:w="120" w:type="dxa"/>
              <w:end w:w="120" w:type="dxa"/>
            </w:tcMar>
            <w:vAlign w:val="center"/>
          </w:tcPr>
          <w:p>
            <w:pPr>
              <w:spacing w:after="0"/>
              <w:jc w:val="center"/>
            </w:pPr>
            <w:r>
              <w:rPr>
                <w:rFonts w:ascii="Aptos" w:hAnsi="Aptos"/>
                <w:b/>
                <w:color w:val="FFFFFF"/>
                <w:sz w:val="18"/>
              </w:rPr>
              <w:t>Domain</w:t>
            </w:r>
          </w:p>
        </w:tc>
        <w:tc>
          <w:tcPr>
            <w:tcW w:type="dxa" w:w="2376"/>
            <w:shd w:fill="1F4E79"/>
            <w:tcMar>
              <w:top w:w="120" w:type="dxa"/>
              <w:start w:w="120" w:type="dxa"/>
              <w:bottom w:w="120" w:type="dxa"/>
              <w:end w:w="120" w:type="dxa"/>
            </w:tcMar>
            <w:vAlign w:val="center"/>
          </w:tcPr>
          <w:p>
            <w:pPr>
              <w:spacing w:after="0"/>
              <w:jc w:val="center"/>
            </w:pPr>
            <w:r>
              <w:rPr>
                <w:rFonts w:ascii="Aptos" w:hAnsi="Aptos"/>
                <w:b/>
                <w:color w:val="FFFFFF"/>
                <w:sz w:val="18"/>
              </w:rPr>
              <w:t>Benchmarks</w:t>
            </w:r>
          </w:p>
        </w:tc>
        <w:tc>
          <w:tcPr>
            <w:tcW w:type="dxa" w:w="2419"/>
            <w:shd w:fill="1F4E79"/>
            <w:tcMar>
              <w:top w:w="120" w:type="dxa"/>
              <w:start w:w="120" w:type="dxa"/>
              <w:bottom w:w="120" w:type="dxa"/>
              <w:end w:w="120" w:type="dxa"/>
            </w:tcMar>
            <w:vAlign w:val="center"/>
          </w:tcPr>
          <w:p>
            <w:pPr>
              <w:spacing w:after="0"/>
              <w:jc w:val="center"/>
            </w:pPr>
            <w:r>
              <w:rPr>
                <w:rFonts w:ascii="Aptos" w:hAnsi="Aptos"/>
                <w:b/>
                <w:color w:val="FFFFFF"/>
                <w:sz w:val="18"/>
              </w:rPr>
              <w:t>Software</w:t>
            </w:r>
          </w:p>
        </w:tc>
        <w:tc>
          <w:tcPr>
            <w:tcW w:type="dxa" w:w="4334"/>
            <w:shd w:fill="1F4E79"/>
            <w:tcMar>
              <w:top w:w="120" w:type="dxa"/>
              <w:start w:w="120" w:type="dxa"/>
              <w:bottom w:w="120" w:type="dxa"/>
              <w:end w:w="120" w:type="dxa"/>
            </w:tcMar>
            <w:vAlign w:val="center"/>
          </w:tcPr>
          <w:p>
            <w:pPr>
              <w:spacing w:after="0"/>
              <w:jc w:val="center"/>
            </w:pPr>
            <w:r>
              <w:rPr>
                <w:rFonts w:ascii="Aptos" w:hAnsi="Aptos"/>
                <w:b/>
                <w:color w:val="FFFFFF"/>
                <w:sz w:val="18"/>
              </w:rPr>
              <w:t>Coverage and next action</w:t>
            </w:r>
          </w:p>
        </w:tc>
      </w:tr>
      <w:tr>
        <w:trPr>
          <w:cantSplit/>
        </w:trPr>
        <w:tc>
          <w:tcPr>
            <w:tcW w:type="dxa" w:w="2044"/>
            <w:tcMar>
              <w:top w:w="110" w:type="dxa"/>
              <w:start w:w="130" w:type="dxa"/>
              <w:bottom w:w="110" w:type="dxa"/>
              <w:end w:w="130" w:type="dxa"/>
            </w:tcMar>
            <w:vAlign w:val="center"/>
          </w:tcPr>
          <w:p>
            <w:pPr>
              <w:spacing w:after="0" w:line="259" w:lineRule="auto"/>
            </w:pPr>
            <w:r>
              <w:rPr>
                <w:rFonts w:ascii="Aptos" w:hAnsi="Aptos"/>
                <w:b/>
                <w:sz w:val="18"/>
              </w:rPr>
            </w:r>
            <w:r>
              <w:rPr>
                <w:rFonts w:ascii="Aptos" w:hAnsi="Aptos"/>
                <w:sz w:val="18"/>
              </w:rPr>
              <w:t>Presentation and PowerPoint</w:t>
            </w:r>
          </w:p>
        </w:tc>
        <w:tc>
          <w:tcPr>
            <w:tcW w:type="dxa" w:w="2376"/>
            <w:tcMar>
              <w:top w:w="110" w:type="dxa"/>
              <w:start w:w="130" w:type="dxa"/>
              <w:bottom w:w="110" w:type="dxa"/>
              <w:end w:w="130" w:type="dxa"/>
            </w:tcMar>
            <w:vAlign w:val="center"/>
          </w:tcPr>
          <w:p>
            <w:pPr>
              <w:spacing w:after="0" w:line="259" w:lineRule="auto"/>
            </w:pPr>
            <w:r>
              <w:rPr>
                <w:rFonts w:ascii="Aptos" w:hAnsi="Aptos"/>
                <w:sz w:val="18"/>
              </w:rPr>
            </w:r>
            <w:r>
              <w:rPr>
                <w:rFonts w:ascii="Aptos" w:hAnsi="Aptos"/>
                <w:sz w:val="18"/>
              </w:rPr>
              <w:t>PPT-Eval; GUIDE; DeskCraft; OSWorld; ParaGUIBench</w:t>
            </w:r>
          </w:p>
        </w:tc>
        <w:tc>
          <w:tcPr>
            <w:tcW w:type="dxa" w:w="2419"/>
            <w:tcMar>
              <w:top w:w="110" w:type="dxa"/>
              <w:start w:w="130" w:type="dxa"/>
              <w:bottom w:w="110" w:type="dxa"/>
              <w:end w:w="130" w:type="dxa"/>
            </w:tcMar>
            <w:vAlign w:val="center"/>
          </w:tcPr>
          <w:p>
            <w:pPr>
              <w:spacing w:after="0" w:line="259" w:lineRule="auto"/>
            </w:pPr>
            <w:r>
              <w:rPr>
                <w:rFonts w:ascii="Aptos" w:hAnsi="Aptos"/>
                <w:sz w:val="18"/>
              </w:rPr>
            </w:r>
            <w:r>
              <w:rPr>
                <w:rFonts w:ascii="Aptos" w:hAnsi="Aptos"/>
                <w:sz w:val="18"/>
              </w:rPr>
              <w:t>Microsoft PowerPoint Online; Microsoft PowerPoint; Google Slides; LibreOffice Impress</w:t>
            </w:r>
          </w:p>
        </w:tc>
        <w:tc>
          <w:tcPr>
            <w:tcW w:type="dxa" w:w="4334"/>
            <w:tcMar>
              <w:top w:w="110" w:type="dxa"/>
              <w:start w:w="130" w:type="dxa"/>
              <w:bottom w:w="110" w:type="dxa"/>
              <w:end w:w="130" w:type="dxa"/>
            </w:tcMar>
            <w:vAlign w:val="center"/>
          </w:tcPr>
          <w:p>
            <w:pPr>
              <w:spacing w:after="0" w:line="259" w:lineRule="auto"/>
            </w:pPr>
            <w:r>
              <w:rPr>
                <w:rFonts w:ascii="Aptos" w:hAnsi="Aptos"/>
                <w:sz w:val="18"/>
              </w:rPr>
            </w:r>
            <w:r>
              <w:rPr>
                <w:rFonts w:ascii="Aptos" w:hAnsi="Aptos"/>
                <w:sz w:val="18"/>
              </w:rPr>
              <w:t>Covered. PPT-Eval has 120 catalog tasks and was excluded from the candidate file because it was already reviewed. Additional presentation candidates come from GUIDE, DeskCraft, and OSWorld.</w:t>
            </w:r>
          </w:p>
        </w:tc>
      </w:tr>
      <w:tr>
        <w:trPr>
          <w:cantSplit/>
        </w:trPr>
        <w:tc>
          <w:tcPr>
            <w:tcW w:type="dxa" w:w="2044"/>
            <w:tcMar>
              <w:top w:w="110" w:type="dxa"/>
              <w:start w:w="130" w:type="dxa"/>
              <w:bottom w:w="110" w:type="dxa"/>
              <w:end w:w="130" w:type="dxa"/>
            </w:tcMar>
            <w:vAlign w:val="center"/>
            <w:shd w:fill="F3F6F9"/>
          </w:tcPr>
          <w:p>
            <w:pPr>
              <w:spacing w:after="0" w:line="259" w:lineRule="auto"/>
            </w:pPr>
            <w:r>
              <w:rPr>
                <w:rFonts w:ascii="Aptos" w:hAnsi="Aptos"/>
                <w:b/>
                <w:sz w:val="18"/>
              </w:rPr>
            </w:r>
            <w:r>
              <w:rPr>
                <w:rFonts w:ascii="Aptos" w:hAnsi="Aptos"/>
                <w:sz w:val="18"/>
              </w:rPr>
              <w:t>Microsoft Office and productivity suites</w:t>
            </w:r>
          </w:p>
        </w:tc>
        <w:tc>
          <w:tcPr>
            <w:tcW w:type="dxa" w:w="2376"/>
            <w:tcMar>
              <w:top w:w="110" w:type="dxa"/>
              <w:start w:w="130" w:type="dxa"/>
              <w:bottom w:w="110" w:type="dxa"/>
              <w:end w:w="130" w:type="dxa"/>
            </w:tcMar>
            <w:vAlign w:val="center"/>
            <w:shd w:fill="F3F6F9"/>
          </w:tcPr>
          <w:p>
            <w:pPr>
              <w:spacing w:after="0" w:line="259" w:lineRule="auto"/>
            </w:pPr>
            <w:r>
              <w:rPr>
                <w:rFonts w:ascii="Aptos" w:hAnsi="Aptos"/>
                <w:sz w:val="18"/>
              </w:rPr>
            </w:r>
            <w:r>
              <w:rPr>
                <w:rFonts w:ascii="Aptos" w:hAnsi="Aptos"/>
                <w:sz w:val="18"/>
              </w:rPr>
              <w:t>GUIDE; PPT-Eval; DeskCraft; OSWorld; ParaGUIBench</w:t>
            </w:r>
          </w:p>
        </w:tc>
        <w:tc>
          <w:tcPr>
            <w:tcW w:type="dxa" w:w="2419"/>
            <w:tcMar>
              <w:top w:w="110" w:type="dxa"/>
              <w:start w:w="130" w:type="dxa"/>
              <w:bottom w:w="110" w:type="dxa"/>
              <w:end w:w="130" w:type="dxa"/>
            </w:tcMar>
            <w:vAlign w:val="center"/>
            <w:shd w:fill="F3F6F9"/>
          </w:tcPr>
          <w:p>
            <w:pPr>
              <w:spacing w:after="0" w:line="259" w:lineRule="auto"/>
            </w:pPr>
            <w:r>
              <w:rPr>
                <w:rFonts w:ascii="Aptos" w:hAnsi="Aptos"/>
                <w:sz w:val="18"/>
              </w:rPr>
            </w:r>
            <w:r>
              <w:rPr>
                <w:rFonts w:ascii="Aptos" w:hAnsi="Aptos"/>
                <w:sz w:val="18"/>
              </w:rPr>
              <w:t>PowerPoint; Excel; Google Slides and Sheets; LibreOffice Writer, Calc, and Impress</w:t>
            </w:r>
          </w:p>
        </w:tc>
        <w:tc>
          <w:tcPr>
            <w:tcW w:type="dxa" w:w="4334"/>
            <w:tcMar>
              <w:top w:w="110" w:type="dxa"/>
              <w:start w:w="130" w:type="dxa"/>
              <w:bottom w:w="110" w:type="dxa"/>
              <w:end w:w="130" w:type="dxa"/>
            </w:tcMar>
            <w:vAlign w:val="center"/>
            <w:shd w:fill="F3F6F9"/>
          </w:tcPr>
          <w:p>
            <w:pPr>
              <w:spacing w:after="0" w:line="259" w:lineRule="auto"/>
            </w:pPr>
            <w:r>
              <w:rPr>
                <w:rFonts w:ascii="Aptos" w:hAnsi="Aptos"/>
                <w:sz w:val="18"/>
              </w:rPr>
            </w:r>
            <w:r>
              <w:rPr>
                <w:rFonts w:ascii="Aptos" w:hAnsi="Aptos"/>
                <w:sz w:val="18"/>
              </w:rPr>
              <w:t>Covered across presentations, spreadsheets, and documents. GUIDE supplies direct Microsoft PowerPoint and Excel conditions; the other benchmarks add web and LibreOffice equivalents.</w:t>
            </w:r>
          </w:p>
        </w:tc>
      </w:tr>
      <w:tr>
        <w:trPr>
          <w:cantSplit/>
        </w:trPr>
        <w:tc>
          <w:tcPr>
            <w:tcW w:type="dxa" w:w="2044"/>
            <w:tcMar>
              <w:top w:w="110" w:type="dxa"/>
              <w:start w:w="130" w:type="dxa"/>
              <w:bottom w:w="110" w:type="dxa"/>
              <w:end w:w="130" w:type="dxa"/>
            </w:tcMar>
            <w:vAlign w:val="center"/>
          </w:tcPr>
          <w:p>
            <w:pPr>
              <w:spacing w:after="0" w:line="259" w:lineRule="auto"/>
            </w:pPr>
            <w:r>
              <w:rPr>
                <w:rFonts w:ascii="Aptos" w:hAnsi="Aptos"/>
                <w:b/>
                <w:sz w:val="18"/>
              </w:rPr>
            </w:r>
            <w:r>
              <w:rPr>
                <w:rFonts w:ascii="Aptos" w:hAnsi="Aptos"/>
                <w:sz w:val="18"/>
              </w:rPr>
              <w:t>Scratch programming and entertainment</w:t>
            </w:r>
          </w:p>
        </w:tc>
        <w:tc>
          <w:tcPr>
            <w:tcW w:type="dxa" w:w="2376"/>
            <w:tcMar>
              <w:top w:w="110" w:type="dxa"/>
              <w:start w:w="130" w:type="dxa"/>
              <w:bottom w:w="110" w:type="dxa"/>
              <w:end w:w="130" w:type="dxa"/>
            </w:tcMar>
            <w:vAlign w:val="center"/>
          </w:tcPr>
          <w:p>
            <w:pPr>
              <w:spacing w:after="0" w:line="259" w:lineRule="auto"/>
            </w:pPr>
            <w:r>
              <w:rPr>
                <w:rFonts w:ascii="Aptos" w:hAnsi="Aptos"/>
                <w:sz w:val="18"/>
              </w:rPr>
            </w:r>
            <w:r>
              <w:rPr>
                <w:rFonts w:ascii="Aptos" w:hAnsi="Aptos"/>
                <w:sz w:val="18"/>
              </w:rPr>
              <w:t>ScratchWorld newly identified; not yet imported</w:t>
            </w:r>
          </w:p>
        </w:tc>
        <w:tc>
          <w:tcPr>
            <w:tcW w:type="dxa" w:w="2419"/>
            <w:tcMar>
              <w:top w:w="110" w:type="dxa"/>
              <w:start w:w="130" w:type="dxa"/>
              <w:bottom w:w="110" w:type="dxa"/>
              <w:end w:w="130" w:type="dxa"/>
            </w:tcMar>
            <w:vAlign w:val="center"/>
          </w:tcPr>
          <w:p>
            <w:pPr>
              <w:spacing w:after="0" w:line="259" w:lineRule="auto"/>
            </w:pPr>
            <w:r>
              <w:rPr>
                <w:rFonts w:ascii="Aptos" w:hAnsi="Aptos"/>
                <w:sz w:val="18"/>
              </w:rPr>
            </w:r>
            <w:r>
              <w:rPr>
                <w:rFonts w:ascii="Aptos" w:hAnsi="Aptos"/>
                <w:sz w:val="18"/>
              </w:rPr>
              <w:t>MIT Scratch</w:t>
            </w:r>
          </w:p>
        </w:tc>
        <w:tc>
          <w:tcPr>
            <w:tcW w:type="dxa" w:w="4334"/>
            <w:tcMar>
              <w:top w:w="110" w:type="dxa"/>
              <w:start w:w="130" w:type="dxa"/>
              <w:bottom w:w="110" w:type="dxa"/>
              <w:end w:w="130" w:type="dxa"/>
            </w:tcMar>
            <w:vAlign w:val="center"/>
          </w:tcPr>
          <w:p>
            <w:pPr>
              <w:spacing w:after="0" w:line="259" w:lineRule="auto"/>
            </w:pPr>
            <w:r>
              <w:rPr>
                <w:rFonts w:ascii="Aptos" w:hAnsi="Aptos"/>
                <w:sz w:val="18"/>
              </w:rPr>
            </w:r>
            <w:r>
              <w:rPr>
                <w:rFonts w:ascii="Aptos" w:hAnsi="Aptos"/>
                <w:sz w:val="18"/>
              </w:rPr>
              <w:t>Benchmark available. ScratchWorld was released in February 2026 with 83 curated tasks across Create, Debug, Extend, and Compute. It supports primitive GUI actions and higher-level composite actions. Add it to the catalog and then review its tasks for shared canvas suitability.</w:t>
            </w:r>
          </w:p>
        </w:tc>
      </w:tr>
      <w:tr>
        <w:trPr>
          <w:cantSplit/>
        </w:trPr>
        <w:tc>
          <w:tcPr>
            <w:tcW w:type="dxa" w:w="2044"/>
            <w:tcMar>
              <w:top w:w="110" w:type="dxa"/>
              <w:start w:w="130" w:type="dxa"/>
              <w:bottom w:w="110" w:type="dxa"/>
              <w:end w:w="130" w:type="dxa"/>
            </w:tcMar>
            <w:vAlign w:val="center"/>
            <w:shd w:fill="F3F6F9"/>
          </w:tcPr>
          <w:p>
            <w:pPr>
              <w:spacing w:after="0" w:line="259" w:lineRule="auto"/>
            </w:pPr>
            <w:r>
              <w:rPr>
                <w:rFonts w:ascii="Aptos" w:hAnsi="Aptos"/>
                <w:b/>
                <w:sz w:val="18"/>
              </w:rPr>
            </w:r>
            <w:r>
              <w:rPr>
                <w:rFonts w:ascii="Aptos" w:hAnsi="Aptos"/>
                <w:sz w:val="18"/>
              </w:rPr>
              <w:t>UI and graphic design</w:t>
            </w:r>
          </w:p>
        </w:tc>
        <w:tc>
          <w:tcPr>
            <w:tcW w:type="dxa" w:w="2376"/>
            <w:tcMar>
              <w:top w:w="110" w:type="dxa"/>
              <w:start w:w="130" w:type="dxa"/>
              <w:bottom w:w="110" w:type="dxa"/>
              <w:end w:w="130" w:type="dxa"/>
            </w:tcMar>
            <w:vAlign w:val="center"/>
            <w:shd w:fill="F3F6F9"/>
          </w:tcPr>
          <w:p>
            <w:pPr>
              <w:spacing w:after="0" w:line="259" w:lineRule="auto"/>
            </w:pPr>
            <w:r>
              <w:rPr>
                <w:rFonts w:ascii="Aptos" w:hAnsi="Aptos"/>
                <w:sz w:val="18"/>
              </w:rPr>
            </w:r>
            <w:r>
              <w:rPr>
                <w:rFonts w:ascii="Aptos" w:hAnsi="Aptos"/>
                <w:sz w:val="18"/>
              </w:rPr>
              <w:t>CANVAS; GUIDE</w:t>
            </w:r>
          </w:p>
        </w:tc>
        <w:tc>
          <w:tcPr>
            <w:tcW w:type="dxa" w:w="2419"/>
            <w:tcMar>
              <w:top w:w="110" w:type="dxa"/>
              <w:start w:w="130" w:type="dxa"/>
              <w:bottom w:w="110" w:type="dxa"/>
              <w:end w:w="130" w:type="dxa"/>
            </w:tcMar>
            <w:vAlign w:val="center"/>
            <w:shd w:fill="F3F6F9"/>
          </w:tcPr>
          <w:p>
            <w:pPr>
              <w:spacing w:after="0" w:line="259" w:lineRule="auto"/>
            </w:pPr>
            <w:r>
              <w:rPr>
                <w:rFonts w:ascii="Aptos" w:hAnsi="Aptos"/>
                <w:sz w:val="18"/>
              </w:rPr>
            </w:r>
            <w:r>
              <w:rPr>
                <w:rFonts w:ascii="Aptos" w:hAnsi="Aptos"/>
                <w:sz w:val="18"/>
              </w:rPr>
              <w:t>Figma; Canva</w:t>
            </w:r>
          </w:p>
        </w:tc>
        <w:tc>
          <w:tcPr>
            <w:tcW w:type="dxa" w:w="4334"/>
            <w:tcMar>
              <w:top w:w="110" w:type="dxa"/>
              <w:start w:w="130" w:type="dxa"/>
              <w:bottom w:w="110" w:type="dxa"/>
              <w:end w:w="130" w:type="dxa"/>
            </w:tcMar>
            <w:vAlign w:val="center"/>
            <w:shd w:fill="F3F6F9"/>
          </w:tcPr>
          <w:p>
            <w:pPr>
              <w:spacing w:after="0" w:line="259" w:lineRule="auto"/>
            </w:pPr>
            <w:r>
              <w:rPr>
                <w:rFonts w:ascii="Aptos" w:hAnsi="Aptos"/>
                <w:sz w:val="18"/>
              </w:rPr>
            </w:r>
            <w:r>
              <w:rPr>
                <w:rFonts w:ascii="Aptos" w:hAnsi="Aptos"/>
                <w:sz w:val="18"/>
              </w:rPr>
              <w:t>Covered. CANVAS contributes 598 Figma tasks and 40 shared canvas candidates. GUIDE adds Figma and Canva tasks. CANVAS is the benchmark name; Canva is the application. The Sketch application is not represented.</w:t>
            </w:r>
          </w:p>
        </w:tc>
      </w:tr>
      <w:tr>
        <w:trPr>
          <w:cantSplit/>
        </w:trPr>
        <w:tc>
          <w:tcPr>
            <w:tcW w:type="dxa" w:w="2044"/>
            <w:tcMar>
              <w:top w:w="110" w:type="dxa"/>
              <w:start w:w="130" w:type="dxa"/>
              <w:bottom w:w="110" w:type="dxa"/>
              <w:end w:w="130" w:type="dxa"/>
            </w:tcMar>
            <w:vAlign w:val="center"/>
          </w:tcPr>
          <w:p>
            <w:pPr>
              <w:spacing w:after="0" w:line="259" w:lineRule="auto"/>
            </w:pPr>
            <w:r>
              <w:rPr>
                <w:rFonts w:ascii="Aptos" w:hAnsi="Aptos"/>
                <w:b/>
                <w:sz w:val="18"/>
              </w:rPr>
            </w:r>
            <w:r>
              <w:rPr>
                <w:rFonts w:ascii="Aptos" w:hAnsi="Aptos"/>
                <w:sz w:val="18"/>
              </w:rPr>
              <w:t>3D and CAD design</w:t>
            </w:r>
          </w:p>
        </w:tc>
        <w:tc>
          <w:tcPr>
            <w:tcW w:type="dxa" w:w="2376"/>
            <w:tcMar>
              <w:top w:w="110" w:type="dxa"/>
              <w:start w:w="130" w:type="dxa"/>
              <w:bottom w:w="110" w:type="dxa"/>
              <w:end w:w="130" w:type="dxa"/>
            </w:tcMar>
            <w:vAlign w:val="center"/>
          </w:tcPr>
          <w:p>
            <w:pPr>
              <w:spacing w:after="0" w:line="259" w:lineRule="auto"/>
            </w:pPr>
            <w:r>
              <w:rPr>
                <w:rFonts w:ascii="Aptos" w:hAnsi="Aptos"/>
                <w:sz w:val="18"/>
              </w:rPr>
            </w:r>
            <w:r>
              <w:rPr>
                <w:rFonts w:ascii="Aptos" w:hAnsi="Aptos"/>
                <w:sz w:val="18"/>
              </w:rPr>
              <w:t>DeskCraft; CADWorld; AutoCAD Bench</w:t>
            </w:r>
          </w:p>
        </w:tc>
        <w:tc>
          <w:tcPr>
            <w:tcW w:type="dxa" w:w="2419"/>
            <w:tcMar>
              <w:top w:w="110" w:type="dxa"/>
              <w:start w:w="130" w:type="dxa"/>
              <w:bottom w:w="110" w:type="dxa"/>
              <w:end w:w="130" w:type="dxa"/>
            </w:tcMar>
            <w:vAlign w:val="center"/>
          </w:tcPr>
          <w:p>
            <w:pPr>
              <w:spacing w:after="0" w:line="259" w:lineRule="auto"/>
            </w:pPr>
            <w:r>
              <w:rPr>
                <w:rFonts w:ascii="Aptos" w:hAnsi="Aptos"/>
                <w:sz w:val="18"/>
              </w:rPr>
            </w:r>
            <w:r>
              <w:rPr>
                <w:rFonts w:ascii="Aptos" w:hAnsi="Aptos"/>
                <w:sz w:val="18"/>
              </w:rPr>
              <w:t>Blender; FreeCAD; Autodesk AutoCAD</w:t>
            </w:r>
          </w:p>
        </w:tc>
        <w:tc>
          <w:tcPr>
            <w:tcW w:type="dxa" w:w="4334"/>
            <w:tcMar>
              <w:top w:w="110" w:type="dxa"/>
              <w:start w:w="130" w:type="dxa"/>
              <w:bottom w:w="110" w:type="dxa"/>
              <w:end w:w="130" w:type="dxa"/>
            </w:tcMar>
            <w:vAlign w:val="center"/>
          </w:tcPr>
          <w:p>
            <w:pPr>
              <w:spacing w:after="0" w:line="259" w:lineRule="auto"/>
            </w:pPr>
            <w:r>
              <w:rPr>
                <w:rFonts w:ascii="Aptos" w:hAnsi="Aptos"/>
                <w:sz w:val="18"/>
              </w:rPr>
            </w:r>
            <w:r>
              <w:rPr>
                <w:rFonts w:ascii="Aptos" w:hAnsi="Aptos"/>
                <w:sz w:val="18"/>
              </w:rPr>
              <w:t>Covered. Current candidates include 17 from CADWorld, 6 Blender tasks from DeskCraft, and 1 from AutoCAD Bench.</w:t>
            </w:r>
          </w:p>
        </w:tc>
      </w:tr>
      <w:tr>
        <w:trPr>
          <w:cantSplit/>
        </w:trPr>
        <w:tc>
          <w:tcPr>
            <w:tcW w:type="dxa" w:w="2044"/>
            <w:tcMar>
              <w:top w:w="110" w:type="dxa"/>
              <w:start w:w="130" w:type="dxa"/>
              <w:bottom w:w="110" w:type="dxa"/>
              <w:end w:w="130" w:type="dxa"/>
            </w:tcMar>
            <w:vAlign w:val="center"/>
            <w:shd w:fill="F3F6F9"/>
          </w:tcPr>
          <w:p>
            <w:pPr>
              <w:spacing w:after="0" w:line="259" w:lineRule="auto"/>
            </w:pPr>
            <w:r>
              <w:rPr>
                <w:rFonts w:ascii="Aptos" w:hAnsi="Aptos"/>
                <w:b/>
                <w:sz w:val="18"/>
              </w:rPr>
            </w:r>
            <w:r>
              <w:rPr>
                <w:rFonts w:ascii="Aptos" w:hAnsi="Aptos"/>
                <w:sz w:val="18"/>
              </w:rPr>
              <w:t>Video editing and post production</w:t>
            </w:r>
          </w:p>
        </w:tc>
        <w:tc>
          <w:tcPr>
            <w:tcW w:type="dxa" w:w="2376"/>
            <w:tcMar>
              <w:top w:w="110" w:type="dxa"/>
              <w:start w:w="130" w:type="dxa"/>
              <w:bottom w:w="110" w:type="dxa"/>
              <w:end w:w="130" w:type="dxa"/>
            </w:tcMar>
            <w:vAlign w:val="center"/>
            <w:shd w:fill="F3F6F9"/>
          </w:tcPr>
          <w:p>
            <w:pPr>
              <w:spacing w:after="0" w:line="259" w:lineRule="auto"/>
            </w:pPr>
            <w:r>
              <w:rPr>
                <w:rFonts w:ascii="Aptos" w:hAnsi="Aptos"/>
                <w:sz w:val="18"/>
              </w:rPr>
            </w:r>
            <w:r>
              <w:rPr>
                <w:rFonts w:ascii="Aptos" w:hAnsi="Aptos"/>
                <w:sz w:val="18"/>
              </w:rPr>
              <w:t>CutVerse; DeskCraft; GUIDE</w:t>
            </w:r>
          </w:p>
        </w:tc>
        <w:tc>
          <w:tcPr>
            <w:tcW w:type="dxa" w:w="2419"/>
            <w:tcMar>
              <w:top w:w="110" w:type="dxa"/>
              <w:start w:w="130" w:type="dxa"/>
              <w:bottom w:w="110" w:type="dxa"/>
              <w:end w:w="130" w:type="dxa"/>
            </w:tcMar>
            <w:vAlign w:val="center"/>
            <w:shd w:fill="F3F6F9"/>
          </w:tcPr>
          <w:p>
            <w:pPr>
              <w:spacing w:after="0" w:line="259" w:lineRule="auto"/>
            </w:pPr>
            <w:r>
              <w:rPr>
                <w:rFonts w:ascii="Aptos" w:hAnsi="Aptos"/>
                <w:sz w:val="18"/>
              </w:rPr>
            </w:r>
            <w:r>
              <w:rPr>
                <w:rFonts w:ascii="Aptos" w:hAnsi="Aptos"/>
                <w:sz w:val="18"/>
              </w:rPr>
              <w:t>Premiere Pro; After Effects; DaVinci Resolve; JianYing; Kdenlive; CapCut; Keling; ComfyUI</w:t>
            </w:r>
          </w:p>
        </w:tc>
        <w:tc>
          <w:tcPr>
            <w:tcW w:type="dxa" w:w="4334"/>
            <w:tcMar>
              <w:top w:w="110" w:type="dxa"/>
              <w:start w:w="130" w:type="dxa"/>
              <w:bottom w:w="110" w:type="dxa"/>
              <w:end w:w="130" w:type="dxa"/>
            </w:tcMar>
            <w:vAlign w:val="center"/>
            <w:shd w:fill="F3F6F9"/>
          </w:tcPr>
          <w:p>
            <w:pPr>
              <w:spacing w:after="0" w:line="259" w:lineRule="auto"/>
            </w:pPr>
            <w:r>
              <w:rPr>
                <w:rFonts w:ascii="Aptos" w:hAnsi="Aptos"/>
                <w:sz w:val="18"/>
              </w:rPr>
            </w:r>
            <w:r>
              <w:rPr>
                <w:rFonts w:ascii="Aptos" w:hAnsi="Aptos"/>
                <w:sz w:val="18"/>
              </w:rPr>
              <w:t>Covered. CutVerse contributes 10 shared canvas candidates, DeskCraft contributes 9 Kdenlive candidates, and GUIDE contributes Premiere Pro and CapCut conditions.</w:t>
            </w:r>
          </w:p>
        </w:tc>
      </w:tr>
      <w:tr>
        <w:trPr>
          <w:cantSplit/>
        </w:trPr>
        <w:tc>
          <w:tcPr>
            <w:tcW w:type="dxa" w:w="2044"/>
            <w:tcMar>
              <w:top w:w="110" w:type="dxa"/>
              <w:start w:w="130" w:type="dxa"/>
              <w:bottom w:w="110" w:type="dxa"/>
              <w:end w:w="130" w:type="dxa"/>
            </w:tcMar>
            <w:vAlign w:val="center"/>
          </w:tcPr>
          <w:p>
            <w:pPr>
              <w:spacing w:after="0" w:line="259" w:lineRule="auto"/>
            </w:pPr>
            <w:r>
              <w:rPr>
                <w:rFonts w:ascii="Aptos" w:hAnsi="Aptos"/>
                <w:b/>
                <w:sz w:val="18"/>
              </w:rPr>
            </w:r>
            <w:r>
              <w:rPr>
                <w:rFonts w:ascii="Aptos" w:hAnsi="Aptos"/>
                <w:sz w:val="18"/>
              </w:rPr>
              <w:t>Image editing illustration and compositing</w:t>
            </w:r>
          </w:p>
        </w:tc>
        <w:tc>
          <w:tcPr>
            <w:tcW w:type="dxa" w:w="2376"/>
            <w:tcMar>
              <w:top w:w="110" w:type="dxa"/>
              <w:start w:w="130" w:type="dxa"/>
              <w:bottom w:w="110" w:type="dxa"/>
              <w:end w:w="130" w:type="dxa"/>
            </w:tcMar>
            <w:vAlign w:val="center"/>
          </w:tcPr>
          <w:p>
            <w:pPr>
              <w:spacing w:after="0" w:line="259" w:lineRule="auto"/>
            </w:pPr>
            <w:r>
              <w:rPr>
                <w:rFonts w:ascii="Aptos" w:hAnsi="Aptos"/>
                <w:sz w:val="18"/>
              </w:rPr>
            </w:r>
            <w:r>
              <w:rPr>
                <w:rFonts w:ascii="Aptos" w:hAnsi="Aptos"/>
                <w:sz w:val="18"/>
              </w:rPr>
              <w:t>PSBench; DeskCraft; GUIDE; OSWorld; CutVerse</w:t>
            </w:r>
          </w:p>
        </w:tc>
        <w:tc>
          <w:tcPr>
            <w:tcW w:type="dxa" w:w="2419"/>
            <w:tcMar>
              <w:top w:w="110" w:type="dxa"/>
              <w:start w:w="130" w:type="dxa"/>
              <w:bottom w:w="110" w:type="dxa"/>
              <w:end w:w="130" w:type="dxa"/>
            </w:tcMar>
            <w:vAlign w:val="center"/>
          </w:tcPr>
          <w:p>
            <w:pPr>
              <w:spacing w:after="0" w:line="259" w:lineRule="auto"/>
            </w:pPr>
            <w:r>
              <w:rPr>
                <w:rFonts w:ascii="Aptos" w:hAnsi="Aptos"/>
                <w:sz w:val="18"/>
              </w:rPr>
            </w:r>
            <w:r>
              <w:rPr>
                <w:rFonts w:ascii="Aptos" w:hAnsi="Aptos"/>
                <w:sz w:val="18"/>
              </w:rPr>
              <w:t>Adobe Photoshop; GIMP; Inkscape</w:t>
            </w:r>
          </w:p>
        </w:tc>
        <w:tc>
          <w:tcPr>
            <w:tcW w:type="dxa" w:w="4334"/>
            <w:tcMar>
              <w:top w:w="110" w:type="dxa"/>
              <w:start w:w="130" w:type="dxa"/>
              <w:bottom w:w="110" w:type="dxa"/>
              <w:end w:w="130" w:type="dxa"/>
            </w:tcMar>
            <w:vAlign w:val="center"/>
          </w:tcPr>
          <w:p>
            <w:pPr>
              <w:spacing w:after="0" w:line="259" w:lineRule="auto"/>
            </w:pPr>
            <w:r>
              <w:rPr>
                <w:rFonts w:ascii="Aptos" w:hAnsi="Aptos"/>
                <w:sz w:val="18"/>
              </w:rPr>
            </w:r>
            <w:r>
              <w:rPr>
                <w:rFonts w:ascii="Aptos" w:hAnsi="Aptos"/>
                <w:sz w:val="18"/>
              </w:rPr>
              <w:t>Recommended next category. About 74 current candidates involve Photoshop, GIMP, or Inkscape. Layers, masks, visual regions, typography, and effects provide natural concurrent ownership while requiring one coherent image.</w:t>
            </w:r>
          </w:p>
        </w:tc>
      </w:tr>
    </w:tbl>
    <w:p/>
    <w:p>
      <w:pPr>
        <w:pStyle w:val="Heading1"/>
      </w:pPr>
      <w:r>
        <w:t>Scratch benchmark finding</w:t>
      </w:r>
    </w:p>
    <w:p>
      <w:r>
        <w:rPr>
          <w:b/>
        </w:rPr>
        <w:t xml:space="preserve">Scratch does have a benchmark as of 2026. </w:t>
      </w:r>
      <w:r>
        <w:t>ScratchWorld evaluates multimodal GUI agents that construct Scratch programs through the interface. Its 83 tasks cover creating projects, debugging, extending existing projects, and computation. The correct status is therefore available externally but not yet included in this project, rather than no benchmark exists.</w:t>
      </w:r>
    </w:p>
    <w:p>
      <w:pPr>
        <w:pStyle w:val="Heading1"/>
      </w:pPr>
      <w:r>
        <w:t>Recommended next step</w:t>
      </w:r>
    </w:p>
    <w:p>
      <w:r>
        <w:rPr>
          <w:b/>
        </w:rPr>
        <w:t xml:space="preserve">Add image editing illustration and compositing as the next formal category. </w:t>
      </w:r>
      <w:r>
        <w:t>It has the deepest ungrouped shared canvas coverage in the current files. After that, import ScratchWorld and assess which Scratch tasks can be divided by sprites, scripts, scenes, or functional modules without losing project-wide behavior.</w:t>
      </w:r>
    </w:p>
    <w:p>
      <w:pPr>
        <w:pStyle w:val="Heading1"/>
      </w:pPr>
      <w:r>
        <w:t>Sources</w:t>
      </w:r>
    </w:p>
    <w:p>
      <w:pPr>
        <w:pStyle w:val="ListBullet"/>
        <w:spacing w:after="40"/>
      </w:pPr>
      <w:r>
        <w:t>Local benchmark task catalog: /Users/tht0021/Downloads/benchmark-tasks/benchmark_tasks.json</w:t>
      </w:r>
    </w:p>
    <w:p>
      <w:pPr>
        <w:pStyle w:val="ListBullet"/>
        <w:spacing w:after="40"/>
      </w:pPr>
      <w:r>
        <w:t>Local shared canvas candidate list: /Users/tht0021/Downloads/benchmark-tasks/shared_canvas_candidates.json</w:t>
      </w:r>
    </w:p>
    <w:p>
      <w:pPr>
        <w:pStyle w:val="ListBullet"/>
        <w:spacing w:after="40"/>
      </w:pPr>
      <w:hyperlink r:id="rId9">
        <w:r>
          <w:rPr>
            <w:color w:val="1F4E79"/>
            <w:u w:val="single"/>
          </w:rPr>
          <w:t>ScratchWorld paper</w:t>
        </w:r>
      </w:hyperlink>
    </w:p>
    <w:p>
      <w:pPr>
        <w:pStyle w:val="ListBullet"/>
        <w:spacing w:after="40"/>
      </w:pPr>
      <w:hyperlink r:id="rId10">
        <w:r>
          <w:rPr>
            <w:color w:val="1F4E79"/>
            <w:u w:val="single"/>
          </w:rPr>
          <w:t>ScratchWorld repository</w:t>
        </w:r>
      </w:hyperlink>
    </w:p>
    <w:p>
      <w:pPr>
        <w:pStyle w:val="ListBullet"/>
        <w:spacing w:after="40"/>
      </w:pPr>
      <w:hyperlink r:id="rId11">
        <w:r>
          <w:rPr>
            <w:color w:val="1F4E79"/>
            <w:u w:val="single"/>
          </w:rPr>
          <w:t>MIT Scratch</w:t>
        </w:r>
      </w:hyperlink>
    </w:p>
    <w:sectPr w:rsidR="00FC693F" w:rsidRPr="0006063C" w:rsidSect="00034616">
      <w:footerReference w:type="default" r:id="rId12"/>
      <w:pgSz w:w="12240" w:h="15840"/>
      <w:pgMar w:top="936"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602.10814" TargetMode="External"/><Relationship Id="rId10" Type="http://schemas.openxmlformats.org/officeDocument/2006/relationships/hyperlink" Target="https://github.com/astarforbae/ScratchWorld" TargetMode="External"/><Relationship Id="rId11" Type="http://schemas.openxmlformats.org/officeDocument/2006/relationships/hyperlink" Target="https://scratch.mit.edu/"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Domains and Benchmark Tasks</dc:title>
  <dc:subject>Shared canvas benchmark domain coverage</dc:subject>
  <dc:creator>Benchmark Tasks Project</dc:creator>
  <cp:keywords>benchmarks, shared canvas, ScratchWorld, GUI agents</cp:keywords>
  <dc:description>generated by python-docx</dc:description>
  <cp:lastModifiedBy/>
  <cp:revision>1</cp:revision>
  <dcterms:created xsi:type="dcterms:W3CDTF">2013-12-23T23:15:00Z</dcterms:created>
  <dcterms:modified xsi:type="dcterms:W3CDTF">2013-12-23T23:15:00Z</dcterms:modified>
  <cp:category/>
</cp:coreProperties>
</file>