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20"/>
      </w:pPr>
      <w:r>
        <w:rPr>
          <w:rFonts w:ascii="Arial" w:hAnsi="Arial"/>
          <w:b w:val="0"/>
          <w:sz w:val="52"/>
        </w:rPr>
        <w:t>Heritage Motors S.A. — Informe Técnico-Ejecutivo</w:t>
      </w:r>
    </w:p>
    <w:p>
      <w:r>
        <w:rPr>
          <w:rFonts w:ascii="Arial" w:hAnsi="Arial"/>
          <w:sz w:val="22"/>
        </w:rPr>
        <w:t>Modelos de pronóstico e inventario para el reaprovisionamiento de componentes críticos y el dimensionamiento del nuevo almacén central.</w:t>
      </w:r>
    </w:p>
    <w:p>
      <w:pPr>
        <w:keepNext/>
        <w:spacing w:before="400" w:after="120"/>
      </w:pPr>
      <w:r>
        <w:rPr>
          <w:rFonts w:ascii="Arial" w:hAnsi="Arial"/>
          <w:b w:val="0"/>
          <w:sz w:val="40"/>
        </w:rPr>
        <w:t>Resumen Ejecutivo</w:t>
      </w:r>
    </w:p>
    <w:p>
      <w:r>
        <w:rPr>
          <w:rFonts w:ascii="Arial" w:hAnsi="Arial"/>
          <w:sz w:val="22"/>
        </w:rPr>
        <w:t>Heritage Motors S.A. está pasando por un momento de incertidumbre y amenaza en base a su gestión de inventario. Sus dos líneas de producto, los Autos Clásicos y los Autos Vintage, dependen de insumos caros que además tardan mucho en llegar, y la demanda de esos vehículos no se comporta de manera regular. A eso se le suma la necesidad de definir cuánto espacio tiene que tener el almacén que la compañía quiere construir.</w:t>
      </w:r>
    </w:p>
    <w:p>
      <w:r>
        <w:rPr>
          <w:rFonts w:ascii="Arial" w:hAnsi="Arial"/>
          <w:sz w:val="22"/>
        </w:rPr>
        <w:t>El estudio se realizó en cuatro tramos. Primero se limpiaron y organizaron los datos de ventas. Después se identificó sobre qué insumos vale la pena poner el esfuerzo. Luego se pronosticó la demanda del año que viene con tres modelos distintos. Y por último se compararon dos políticas de reaprovisionamiento y se tradujo la ganadora a metros cúbicos de galpón.</w:t>
      </w:r>
    </w:p>
    <w:p>
      <w:r>
        <w:rPr>
          <w:rFonts w:ascii="Arial" w:hAnsi="Arial"/>
          <w:sz w:val="22"/>
        </w:rPr>
        <w:t>Lo que encontramos, en resumen:</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703"/>
        <w:gridCol w:w="4703"/>
      </w:tblGrid>
      <w:tr>
        <w:tc>
          <w:tcPr>
            <w:tcW w:type="dxa" w:w="4703"/>
          </w:tcPr>
          <w:p>
            <w:pPr>
              <w:spacing w:after="40" w:line="240" w:lineRule="auto"/>
            </w:pPr>
            <w:r/>
            <w:r>
              <w:rPr>
                <w:rFonts w:ascii="Arial" w:hAnsi="Arial"/>
                <w:b/>
                <w:sz w:val="20"/>
              </w:rPr>
            </w:r>
          </w:p>
        </w:tc>
        <w:tc>
          <w:tcPr>
            <w:tcW w:type="dxa" w:w="4703"/>
          </w:tcPr>
          <w:p>
            <w:pPr>
              <w:spacing w:after="40" w:line="240" w:lineRule="auto"/>
            </w:pPr>
            <w:r/>
            <w:r>
              <w:rPr>
                <w:rFonts w:ascii="Arial" w:hAnsi="Arial"/>
                <w:b/>
                <w:sz w:val="20"/>
              </w:rPr>
            </w:r>
          </w:p>
        </w:tc>
      </w:tr>
      <w:tr>
        <w:tc>
          <w:tcPr>
            <w:tcW w:type="dxa" w:w="4703"/>
          </w:tcPr>
          <w:p>
            <w:pPr>
              <w:spacing w:after="40" w:line="240" w:lineRule="auto"/>
            </w:pPr>
            <w:r/>
            <w:r>
              <w:rPr>
                <w:rFonts w:ascii="Arial" w:hAnsi="Arial"/>
                <w:sz w:val="20"/>
              </w:rPr>
              <w:t>Demanda pronosticada</w:t>
            </w:r>
          </w:p>
        </w:tc>
        <w:tc>
          <w:tcPr>
            <w:tcW w:type="dxa" w:w="4703"/>
          </w:tcPr>
          <w:p>
            <w:pPr>
              <w:spacing w:after="40" w:line="240" w:lineRule="auto"/>
            </w:pPr>
            <w:r/>
            <w:r>
              <w:rPr>
                <w:rFonts w:ascii="Arial" w:hAnsi="Arial"/>
                <w:sz w:val="20"/>
              </w:rPr>
              <w:t>917 vehículos para los próximos 12 meses</w:t>
            </w:r>
          </w:p>
        </w:tc>
      </w:tr>
      <w:tr>
        <w:tc>
          <w:tcPr>
            <w:tcW w:type="dxa" w:w="4703"/>
          </w:tcPr>
          <w:p>
            <w:pPr>
              <w:spacing w:after="40" w:line="240" w:lineRule="auto"/>
            </w:pPr>
            <w:r/>
            <w:r>
              <w:rPr>
                <w:rFonts w:ascii="Arial" w:hAnsi="Arial"/>
                <w:sz w:val="20"/>
              </w:rPr>
              <w:t>Modelo utilizado</w:t>
            </w:r>
          </w:p>
        </w:tc>
        <w:tc>
          <w:tcPr>
            <w:tcW w:type="dxa" w:w="4703"/>
          </w:tcPr>
          <w:p>
            <w:pPr>
              <w:spacing w:after="40" w:line="240" w:lineRule="auto"/>
            </w:pPr>
            <w:r/>
            <w:r>
              <w:rPr>
                <w:rFonts w:ascii="Arial" w:hAnsi="Arial"/>
                <w:sz w:val="20"/>
              </w:rPr>
              <w:t>Prophet (MAPE 14,70%)</w:t>
            </w:r>
          </w:p>
        </w:tc>
      </w:tr>
      <w:tr>
        <w:tc>
          <w:tcPr>
            <w:tcW w:type="dxa" w:w="4703"/>
          </w:tcPr>
          <w:p>
            <w:pPr>
              <w:spacing w:after="40" w:line="240" w:lineRule="auto"/>
            </w:pPr>
            <w:r/>
            <w:r>
              <w:rPr>
                <w:rFonts w:ascii="Arial" w:hAnsi="Arial"/>
                <w:sz w:val="20"/>
              </w:rPr>
              <w:t>Insumos críticos</w:t>
            </w:r>
          </w:p>
        </w:tc>
        <w:tc>
          <w:tcPr>
            <w:tcW w:type="dxa" w:w="4703"/>
          </w:tcPr>
          <w:p>
            <w:pPr>
              <w:spacing w:after="40" w:line="240" w:lineRule="auto"/>
            </w:pPr>
            <w:r/>
            <w:r>
              <w:rPr>
                <w:rFonts w:ascii="Arial" w:hAnsi="Arial"/>
                <w:sz w:val="20"/>
              </w:rPr>
              <w:t>5 de 11, concentran el 69,69% del valor de uso anual</w:t>
            </w:r>
          </w:p>
        </w:tc>
      </w:tr>
      <w:tr>
        <w:tc>
          <w:tcPr>
            <w:tcW w:type="dxa" w:w="4703"/>
          </w:tcPr>
          <w:p>
            <w:pPr>
              <w:spacing w:after="40" w:line="240" w:lineRule="auto"/>
            </w:pPr>
            <w:r/>
            <w:r>
              <w:rPr>
                <w:rFonts w:ascii="Arial" w:hAnsi="Arial"/>
                <w:sz w:val="20"/>
              </w:rPr>
              <w:t>Política recomendada</w:t>
            </w:r>
          </w:p>
        </w:tc>
        <w:tc>
          <w:tcPr>
            <w:tcW w:type="dxa" w:w="4703"/>
          </w:tcPr>
          <w:p>
            <w:pPr>
              <w:spacing w:after="40" w:line="240" w:lineRule="auto"/>
            </w:pPr>
            <w:r/>
            <w:r>
              <w:rPr>
                <w:rFonts w:ascii="Arial" w:hAnsi="Arial"/>
                <w:b/>
                <w:sz w:val="20"/>
              </w:rPr>
              <w:t>A — Faltantes admitidos (óptima por costos)</w:t>
            </w:r>
          </w:p>
        </w:tc>
      </w:tr>
      <w:tr>
        <w:tc>
          <w:tcPr>
            <w:tcW w:type="dxa" w:w="4703"/>
          </w:tcPr>
          <w:p>
            <w:pPr>
              <w:spacing w:after="40" w:line="240" w:lineRule="auto"/>
            </w:pPr>
            <w:r/>
            <w:r>
              <w:rPr>
                <w:rFonts w:ascii="Arial" w:hAnsi="Arial"/>
                <w:sz w:val="20"/>
              </w:rPr>
              <w:t>Ahorro anual</w:t>
            </w:r>
          </w:p>
        </w:tc>
        <w:tc>
          <w:tcPr>
            <w:tcW w:type="dxa" w:w="4703"/>
          </w:tcPr>
          <w:p>
            <w:pPr>
              <w:spacing w:after="40" w:line="240" w:lineRule="auto"/>
            </w:pPr>
            <w:r/>
            <w:r>
              <w:rPr>
                <w:rFonts w:ascii="Arial" w:hAnsi="Arial"/>
                <w:sz w:val="20"/>
              </w:rPr>
              <w:t>USD 7.250 sobre el costo controlable de inventario</w:t>
            </w:r>
          </w:p>
        </w:tc>
      </w:tr>
      <w:tr>
        <w:tc>
          <w:tcPr>
            <w:tcW w:type="dxa" w:w="4703"/>
          </w:tcPr>
          <w:p>
            <w:pPr>
              <w:spacing w:after="40" w:line="240" w:lineRule="auto"/>
            </w:pPr>
            <w:r/>
            <w:r>
              <w:rPr>
                <w:rFonts w:ascii="Arial" w:hAnsi="Arial"/>
                <w:sz w:val="20"/>
              </w:rPr>
              <w:t>Nivel de servicio alcanzado</w:t>
            </w:r>
          </w:p>
        </w:tc>
        <w:tc>
          <w:tcPr>
            <w:tcW w:type="dxa" w:w="4703"/>
          </w:tcPr>
          <w:p>
            <w:pPr>
              <w:spacing w:after="40" w:line="240" w:lineRule="auto"/>
            </w:pPr>
            <w:r/>
            <w:r>
              <w:rPr>
                <w:rFonts w:ascii="Arial" w:hAnsi="Arial"/>
                <w:sz w:val="20"/>
              </w:rPr>
              <w:t>99,68% de la demanda entregada a tiempo</w:t>
            </w:r>
          </w:p>
        </w:tc>
      </w:tr>
      <w:tr>
        <w:tc>
          <w:tcPr>
            <w:tcW w:type="dxa" w:w="4703"/>
          </w:tcPr>
          <w:p>
            <w:pPr>
              <w:spacing w:after="40" w:line="240" w:lineRule="auto"/>
            </w:pPr>
            <w:r/>
            <w:r>
              <w:rPr>
                <w:rFonts w:ascii="Arial" w:hAnsi="Arial"/>
                <w:sz w:val="20"/>
              </w:rPr>
              <w:t>Almacén propuesto</w:t>
            </w:r>
          </w:p>
        </w:tc>
        <w:tc>
          <w:tcPr>
            <w:tcW w:type="dxa" w:w="4703"/>
          </w:tcPr>
          <w:p>
            <w:pPr>
              <w:spacing w:after="40" w:line="240" w:lineRule="auto"/>
            </w:pPr>
            <w:r/>
            <w:r>
              <w:rPr>
                <w:rFonts w:ascii="Arial" w:hAnsi="Arial"/>
                <w:sz w:val="20"/>
              </w:rPr>
              <w:t>428 m³, unos 86 m² con 5 metros de altura útil</w:t>
            </w:r>
          </w:p>
        </w:tc>
      </w:tr>
      <w:tr>
        <w:tc>
          <w:tcPr>
            <w:tcW w:type="dxa" w:w="4703"/>
          </w:tcPr>
          <w:p>
            <w:pPr>
              <w:spacing w:after="40" w:line="240" w:lineRule="auto"/>
            </w:pPr>
            <w:r/>
            <w:r>
              <w:rPr>
                <w:rFonts w:ascii="Arial" w:hAnsi="Arial"/>
                <w:sz w:val="20"/>
              </w:rPr>
              <w:t>Inversión en obra</w:t>
            </w:r>
          </w:p>
        </w:tc>
        <w:tc>
          <w:tcPr>
            <w:tcW w:type="dxa" w:w="4703"/>
          </w:tcPr>
          <w:p>
            <w:pPr>
              <w:spacing w:after="40" w:line="240" w:lineRule="auto"/>
            </w:pPr>
            <w:r/>
            <w:r>
              <w:rPr>
                <w:rFonts w:ascii="Arial" w:hAnsi="Arial"/>
                <w:sz w:val="20"/>
              </w:rPr>
              <w:t>USD 128.464</w:t>
            </w:r>
          </w:p>
        </w:tc>
      </w:tr>
    </w:tbl>
    <w:p/>
    <w:p>
      <w:r>
        <w:rPr>
          <w:rFonts w:ascii="Arial" w:hAnsi="Arial"/>
          <w:b/>
          <w:sz w:val="22"/>
        </w:rPr>
        <w:t>Recomendamos a la organización inclinarse por la Política A</w:t>
      </w:r>
      <w:r>
        <w:rPr>
          <w:rFonts w:ascii="Arial" w:hAnsi="Arial"/>
          <w:sz w:val="22"/>
        </w:rPr>
        <w:t xml:space="preserve">, que fija el punto de reabastecimiento por criterio económico en lugar de imponerle al modelo un nivel de servicio del 95%. Es más barata y, contra lo que uno esperaría a primera vista, </w:t>
      </w:r>
      <w:r>
        <w:rPr>
          <w:rFonts w:ascii="Arial" w:hAnsi="Arial"/>
          <w:b/>
          <w:sz w:val="22"/>
        </w:rPr>
        <w:t>da mejor servicio</w:t>
      </w:r>
      <w:r>
        <w:rPr>
          <w:rFonts w:ascii="Arial" w:hAnsi="Arial"/>
          <w:sz w:val="22"/>
        </w:rPr>
        <w:t>: su probabilidad de quedarse sin stock resulta de 0,0243, bastante por debajo del 0,05 que impone la otra política.</w:t>
      </w:r>
    </w:p>
    <w:p>
      <w:r>
        <w:rPr>
          <w:rFonts w:ascii="Arial" w:hAnsi="Arial"/>
          <w:sz w:val="22"/>
        </w:rPr>
        <w:t xml:space="preserve">Lo más interesante que salió del análisis es que ese 95% de la Política B no significa lo que parece. Es un objetivo </w:t>
      </w:r>
      <w:r>
        <w:rPr>
          <w:rFonts w:ascii="Arial" w:hAnsi="Arial"/>
          <w:i/>
          <w:sz w:val="22"/>
        </w:rPr>
        <w:t>por cada ciclo de reposición</w:t>
      </w:r>
      <w:r>
        <w:rPr>
          <w:rFonts w:ascii="Arial" w:hAnsi="Arial"/>
          <w:sz w:val="22"/>
        </w:rPr>
        <w:t>, y como la compañía repone entre 35 y 42 veces al año por insumo, ese 5% de riesgo repetido tantas veces termina dando alrededor de dos quiebres de stock anuales. La política óptima por costos, al ponderar lo que realmente cuesta un faltante, termina siendo más prudente que la restricción que se le quería imponer.</w:t>
      </w:r>
    </w:p>
    <w:p>
      <w:r>
        <w:rPr>
          <w:rFonts w:ascii="Arial" w:hAnsi="Arial"/>
          <w:sz w:val="22"/>
        </w:rPr>
        <w:t>Para el almacén se propone construir 428 m³. La Política A necesita 18 m³ más que la B, lo que representa USD 8.323 adicionales de obra por única vez, que se recuperan en poco más de un año con la diferencia de costo operativo. La restricción de capacidad no cambia la recomendación.</w:t>
      </w:r>
    </w:p>
    <w:p>
      <w:pPr>
        <w:keepNext/>
        <w:spacing w:before="400" w:after="120"/>
      </w:pPr>
      <w:r>
        <w:rPr>
          <w:rFonts w:ascii="Arial" w:hAnsi="Arial"/>
          <w:b w:val="0"/>
          <w:sz w:val="40"/>
        </w:rPr>
        <w:t>1. Análisis Preliminar</w:t>
      </w:r>
    </w:p>
    <w:p>
      <w:pPr>
        <w:keepNext/>
        <w:spacing w:before="360" w:after="120"/>
      </w:pPr>
      <w:r>
        <w:rPr>
          <w:rFonts w:ascii="Arial" w:hAnsi="Arial"/>
          <w:b/>
          <w:sz w:val="32"/>
        </w:rPr>
        <w:t>1.1. Limpieza y organización de los datos</w:t>
      </w:r>
    </w:p>
    <w:p>
      <w:r>
        <w:rPr>
          <w:rFonts w:ascii="Arial" w:hAnsi="Arial"/>
          <w:sz w:val="22"/>
        </w:rPr>
        <w:t>En un primer paso, solo para aportar mayor contexto sobre el estudio realizado, se comenzó con la limpieza y organización de los datos suministrados por la organización. El histórico entregado tiene 2.823 líneas de pedido entre enero de 2003 y mayo de 2005.</w:t>
      </w:r>
    </w:p>
    <w:p>
      <w:r>
        <w:rPr>
          <w:rFonts w:ascii="Arial" w:hAnsi="Arial"/>
          <w:sz w:val="22"/>
        </w:rPr>
        <w:t>Las actividades de esta índole fueron variadas, pero conviene detenerse en tres decisiones que tomamos, porque cada una termina afectando los números finales.</w:t>
      </w:r>
    </w:p>
    <w:p>
      <w:r>
        <w:rPr>
          <w:rFonts w:ascii="Arial" w:hAnsi="Arial"/>
          <w:b/>
          <w:sz w:val="22"/>
        </w:rPr>
        <w:t>Primero, qué líneas de producto conservar.</w:t>
      </w:r>
      <w:r>
        <w:rPr>
          <w:rFonts w:ascii="Arial" w:hAnsi="Arial"/>
          <w:sz w:val="22"/>
        </w:rPr>
        <w:t xml:space="preserve"> Nos quedamos únicamente con los pedidos de Autos Clásicos y Autos Vintage, que son las dos líneas del caso. Quedan 1.574 líneas de pedido.</w:t>
      </w:r>
    </w:p>
    <w:p>
      <w:r>
        <w:rPr>
          <w:rFonts w:ascii="Arial" w:hAnsi="Arial"/>
          <w:b/>
          <w:sz w:val="22"/>
        </w:rPr>
        <w:t>Segundo, qué hacer con los pedidos que no fueron despachados.</w:t>
      </w:r>
      <w:r>
        <w:rPr>
          <w:rFonts w:ascii="Arial" w:hAnsi="Arial"/>
          <w:sz w:val="22"/>
        </w:rPr>
        <w:t xml:space="preserve"> La idea original era quedarse solo con lo efectivamente enviado, pero al mirar la distribución mes a mes apareció un problema. Abril de 2005 tiene 29 líneas y solamente 12 aparecen como despachadas; mayo tiene 66 y solamente 29. Los pedidos en proceso y en espera se amontonan al final de la serie por una razón sencilla: son los más recientes, todavía no les dio tiempo de despacharse. No es que la demanda haya caído.</w:t>
      </w:r>
    </w:p>
    <w:p>
      <w:r>
        <w:rPr>
          <w:rFonts w:ascii="Arial" w:hAnsi="Arial"/>
          <w:sz w:val="22"/>
        </w:rPr>
        <w:t xml:space="preserve">Si hubiéramos filtrado por despachados nos habríamos fabricado un valle artificial justo en los últimos meses, y el modelo de pronóstico lo habría aprendido como si fuera un patrón real. Así que se decidió descartar únicamente los pedidos </w:t>
      </w:r>
      <w:r>
        <w:rPr>
          <w:rFonts w:ascii="Arial" w:hAnsi="Arial"/>
          <w:b/>
          <w:sz w:val="22"/>
        </w:rPr>
        <w:t>cancelados</w:t>
      </w:r>
      <w:r>
        <w:rPr>
          <w:rFonts w:ascii="Arial" w:hAnsi="Arial"/>
          <w:sz w:val="22"/>
        </w:rPr>
        <w:t xml:space="preserve">: un pedido en proceso o en espera es demanda genuina, el cliente igual pidió la unidad. Quedan </w:t>
      </w:r>
      <w:r>
        <w:rPr>
          <w:rFonts w:ascii="Arial" w:hAnsi="Arial"/>
          <w:b/>
          <w:sz w:val="22"/>
        </w:rPr>
        <w:t>1.545 líneas</w:t>
      </w:r>
      <w:r>
        <w:rPr>
          <w:rFonts w:ascii="Arial" w:hAnsi="Arial"/>
          <w:sz w:val="22"/>
        </w:rPr>
        <w:t>.</w:t>
      </w:r>
    </w:p>
    <w:p>
      <w:r>
        <w:rPr>
          <w:rFonts w:ascii="Arial" w:hAnsi="Arial"/>
          <w:b/>
          <w:sz w:val="22"/>
        </w:rPr>
        <w:t>Tercero, un error en el campo de precio.</w:t>
      </w:r>
      <w:r>
        <w:rPr>
          <w:rFonts w:ascii="Arial" w:hAnsi="Arial"/>
          <w:sz w:val="22"/>
        </w:rPr>
        <w:t xml:space="preserve"> El precio unitario del histórico viene topeado en 100 en 781 de las 1.545 líneas, con lo cual no coincide con el importe facturado dividido la cantidad. Lo recalculamos a partir del importe, que es el campo que sí cierra.</w:t>
      </w:r>
    </w:p>
    <w:p>
      <w:r>
        <w:rPr>
          <w:rFonts w:ascii="Arial" w:hAnsi="Arial"/>
          <w:b/>
          <w:sz w:val="22"/>
        </w:rPr>
        <w:t>Y una aclaración sobre la unidad de medida.</w:t>
      </w:r>
      <w:r>
        <w:rPr>
          <w:rFonts w:ascii="Arial" w:hAnsi="Arial"/>
          <w:sz w:val="22"/>
        </w:rPr>
        <w:t xml:space="preserve"> El histórico registra cada línea de pedido con una cantidad promedio de 35 unidades. Esa granularidad no corresponde al negocio de Heritage Motors: un cliente que encarga una restauración no pide 35 vehículos idénticos, pide uno con una configuración determinada. Por eso tomamos la correspondencia </w:t>
      </w:r>
      <w:r>
        <w:rPr>
          <w:rFonts w:ascii="Arial" w:hAnsi="Arial"/>
          <w:b/>
          <w:sz w:val="22"/>
        </w:rPr>
        <w:t>una línea de pedido = un vehículo encargado</w:t>
      </w:r>
      <w:r>
        <w:rPr>
          <w:rFonts w:ascii="Arial" w:hAnsi="Arial"/>
          <w:sz w:val="22"/>
        </w:rPr>
        <w:t>.</w:t>
      </w:r>
    </w:p>
    <w:p>
      <w:r>
        <w:rPr>
          <w:rFonts w:ascii="Arial" w:hAnsi="Arial"/>
          <w:sz w:val="22"/>
        </w:rPr>
        <w:t xml:space="preserve">La decisión no cambia el patrón de demanda, que es lo que el histórico realmente nos aporta. Lo verificamos: la correlación mensual entre contar líneas y contar unidades es de </w:t>
      </w:r>
      <w:r>
        <w:rPr>
          <w:rFonts w:ascii="Arial" w:hAnsi="Arial"/>
          <w:b/>
          <w:sz w:val="22"/>
        </w:rPr>
        <w:t>0,9968</w:t>
      </w:r>
      <w:r>
        <w:rPr>
          <w:rFonts w:ascii="Arial" w:hAnsi="Arial"/>
          <w:sz w:val="22"/>
        </w:rPr>
        <w:t>, el pico de noviembre se conserva y el reparto entre las dos líneas de producto prácticamente no se mueve (61,6% contra 61,9%).</w:t>
      </w:r>
    </w:p>
    <w:p>
      <w:r>
        <w:rPr>
          <w:rFonts w:ascii="Arial" w:hAnsi="Arial"/>
          <w:sz w:val="22"/>
        </w:rPr>
        <w:t xml:space="preserve">La serie que queda tiene </w:t>
      </w:r>
      <w:r>
        <w:rPr>
          <w:rFonts w:ascii="Arial" w:hAnsi="Arial"/>
          <w:b/>
          <w:sz w:val="22"/>
        </w:rPr>
        <w:t>29 meses y 1.545 vehículos</w:t>
      </w:r>
      <w:r>
        <w:rPr>
          <w:rFonts w:ascii="Arial" w:hAnsi="Arial"/>
          <w:sz w:val="22"/>
        </w:rPr>
        <w:t xml:space="preserve">, 53,3 por mes en promedio, repartidos en </w:t>
      </w:r>
      <w:r>
        <w:rPr>
          <w:rFonts w:ascii="Arial" w:hAnsi="Arial"/>
          <w:b/>
          <w:sz w:val="22"/>
        </w:rPr>
        <w:t>61,55% Clásicos y 38,45% Vintage</w:t>
      </w:r>
      <w:r>
        <w:rPr>
          <w:rFonts w:ascii="Arial" w:hAnsi="Arial"/>
          <w:sz w:val="22"/>
        </w:rPr>
        <w:t>.</w:t>
      </w:r>
    </w:p>
    <w:p>
      <w:pPr>
        <w:keepNext/>
        <w:spacing w:before="360" w:after="120"/>
      </w:pPr>
      <w:r>
        <w:rPr>
          <w:rFonts w:ascii="Arial" w:hAnsi="Arial"/>
          <w:b/>
          <w:sz w:val="32"/>
        </w:rPr>
        <w:t>1.2. Qué insumos priorizar</w:t>
      </w:r>
    </w:p>
    <w:p>
      <w:r>
        <w:rPr>
          <w:rFonts w:ascii="Arial" w:hAnsi="Arial"/>
          <w:sz w:val="22"/>
        </w:rPr>
        <w:t>Para poder entender qué insumos debe priorizar la compañía, se procedió a realizar un análisis sobre aquellos bienes que representan cerca del ochenta por ciento de los costos. Se calculó el valor de uso anual de cada insumo, que es la cantidad que se consume en un año multiplicada por su costo unitario.</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44"/>
        <w:gridCol w:w="1344"/>
        <w:gridCol w:w="1344"/>
        <w:gridCol w:w="1344"/>
        <w:gridCol w:w="1344"/>
        <w:gridCol w:w="1344"/>
        <w:gridCol w:w="1344"/>
      </w:tblGrid>
      <w:tr>
        <w:tc>
          <w:tcPr>
            <w:tcW w:type="dxa" w:w="1344"/>
          </w:tcPr>
          <w:p>
            <w:pPr>
              <w:spacing w:after="40" w:line="240" w:lineRule="auto"/>
            </w:pPr>
            <w:r/>
            <w:r>
              <w:rPr>
                <w:rFonts w:ascii="Arial" w:hAnsi="Arial"/>
                <w:b/>
                <w:sz w:val="20"/>
              </w:rPr>
              <w:t>Insumo</w:t>
            </w:r>
          </w:p>
        </w:tc>
        <w:tc>
          <w:tcPr>
            <w:tcW w:type="dxa" w:w="1344"/>
          </w:tcPr>
          <w:p>
            <w:pPr>
              <w:spacing w:after="40" w:line="240" w:lineRule="auto"/>
            </w:pPr>
            <w:r/>
            <w:r>
              <w:rPr>
                <w:rFonts w:ascii="Arial" w:hAnsi="Arial"/>
                <w:b/>
                <w:sz w:val="20"/>
              </w:rPr>
              <w:t>Producto</w:t>
            </w:r>
          </w:p>
        </w:tc>
        <w:tc>
          <w:tcPr>
            <w:tcW w:type="dxa" w:w="1344"/>
          </w:tcPr>
          <w:p>
            <w:pPr>
              <w:spacing w:after="40" w:line="240" w:lineRule="auto"/>
            </w:pPr>
            <w:r/>
            <w:r>
              <w:rPr>
                <w:rFonts w:ascii="Arial" w:hAnsi="Arial"/>
                <w:b/>
                <w:sz w:val="20"/>
              </w:rPr>
              <w:t>Demanda anual</w:t>
            </w:r>
          </w:p>
        </w:tc>
        <w:tc>
          <w:tcPr>
            <w:tcW w:type="dxa" w:w="1344"/>
          </w:tcPr>
          <w:p>
            <w:pPr>
              <w:spacing w:after="40" w:line="240" w:lineRule="auto"/>
            </w:pPr>
            <w:r/>
            <w:r>
              <w:rPr>
                <w:rFonts w:ascii="Arial" w:hAnsi="Arial"/>
                <w:b/>
                <w:sz w:val="20"/>
              </w:rPr>
              <w:t>Costo unit.</w:t>
            </w:r>
          </w:p>
        </w:tc>
        <w:tc>
          <w:tcPr>
            <w:tcW w:type="dxa" w:w="1344"/>
          </w:tcPr>
          <w:p>
            <w:pPr>
              <w:spacing w:after="40" w:line="240" w:lineRule="auto"/>
            </w:pPr>
            <w:r/>
            <w:r>
              <w:rPr>
                <w:rFonts w:ascii="Arial" w:hAnsi="Arial"/>
                <w:b/>
                <w:sz w:val="20"/>
              </w:rPr>
              <w:t>Valor de uso</w:t>
            </w:r>
          </w:p>
        </w:tc>
        <w:tc>
          <w:tcPr>
            <w:tcW w:type="dxa" w:w="1344"/>
          </w:tcPr>
          <w:p>
            <w:pPr>
              <w:spacing w:after="40" w:line="240" w:lineRule="auto"/>
            </w:pPr>
            <w:r/>
            <w:r>
              <w:rPr>
                <w:rFonts w:ascii="Arial" w:hAnsi="Arial"/>
                <w:b/>
                <w:sz w:val="20"/>
              </w:rPr>
              <w:t>% individual</w:t>
            </w:r>
          </w:p>
        </w:tc>
        <w:tc>
          <w:tcPr>
            <w:tcW w:type="dxa" w:w="1344"/>
          </w:tcPr>
          <w:p>
            <w:pPr>
              <w:spacing w:after="40" w:line="240" w:lineRule="auto"/>
            </w:pPr>
            <w:r/>
            <w:r>
              <w:rPr>
                <w:rFonts w:ascii="Arial" w:hAnsi="Arial"/>
                <w:b/>
                <w:sz w:val="20"/>
              </w:rPr>
              <w:t>% acumulado</w:t>
            </w:r>
          </w:p>
        </w:tc>
      </w:tr>
      <w:tr>
        <w:tc>
          <w:tcPr>
            <w:tcW w:type="dxa" w:w="1344"/>
          </w:tcPr>
          <w:p>
            <w:pPr>
              <w:spacing w:after="40" w:line="240" w:lineRule="auto"/>
            </w:pPr>
            <w:r/>
            <w:r>
              <w:rPr>
                <w:rFonts w:ascii="Arial" w:hAnsi="Arial"/>
                <w:sz w:val="20"/>
              </w:rPr>
              <w:t>Carrocería Artesanal de Época</w:t>
            </w:r>
          </w:p>
        </w:tc>
        <w:tc>
          <w:tcPr>
            <w:tcW w:type="dxa" w:w="1344"/>
          </w:tcPr>
          <w:p>
            <w:pPr>
              <w:spacing w:after="40" w:line="240" w:lineRule="auto"/>
            </w:pPr>
            <w:r/>
            <w:r>
              <w:rPr>
                <w:rFonts w:ascii="Arial" w:hAnsi="Arial"/>
                <w:sz w:val="20"/>
              </w:rPr>
              <w:t>Vintage</w:t>
            </w:r>
          </w:p>
        </w:tc>
        <w:tc>
          <w:tcPr>
            <w:tcW w:type="dxa" w:w="1344"/>
          </w:tcPr>
          <w:p>
            <w:pPr>
              <w:spacing w:after="40" w:line="240" w:lineRule="auto"/>
            </w:pPr>
            <w:r/>
            <w:r>
              <w:rPr>
                <w:rFonts w:ascii="Arial" w:hAnsi="Arial"/>
                <w:sz w:val="20"/>
              </w:rPr>
              <w:t>246</w:t>
            </w:r>
          </w:p>
        </w:tc>
        <w:tc>
          <w:tcPr>
            <w:tcW w:type="dxa" w:w="1344"/>
          </w:tcPr>
          <w:p>
            <w:pPr>
              <w:spacing w:after="40" w:line="240" w:lineRule="auto"/>
            </w:pPr>
            <w:r/>
            <w:r>
              <w:rPr>
                <w:rFonts w:ascii="Arial" w:hAnsi="Arial"/>
                <w:sz w:val="20"/>
              </w:rPr>
              <w:t>15.000</w:t>
            </w:r>
          </w:p>
        </w:tc>
        <w:tc>
          <w:tcPr>
            <w:tcW w:type="dxa" w:w="1344"/>
          </w:tcPr>
          <w:p>
            <w:pPr>
              <w:spacing w:after="40" w:line="240" w:lineRule="auto"/>
            </w:pPr>
            <w:r/>
            <w:r>
              <w:rPr>
                <w:rFonts w:ascii="Arial" w:hAnsi="Arial"/>
                <w:sz w:val="20"/>
              </w:rPr>
              <w:t>3.690.000</w:t>
            </w:r>
          </w:p>
        </w:tc>
        <w:tc>
          <w:tcPr>
            <w:tcW w:type="dxa" w:w="1344"/>
          </w:tcPr>
          <w:p>
            <w:pPr>
              <w:spacing w:after="40" w:line="240" w:lineRule="auto"/>
            </w:pPr>
            <w:r/>
            <w:r>
              <w:rPr>
                <w:rFonts w:ascii="Arial" w:hAnsi="Arial"/>
                <w:sz w:val="20"/>
              </w:rPr>
              <w:t>16,80%</w:t>
            </w:r>
          </w:p>
        </w:tc>
        <w:tc>
          <w:tcPr>
            <w:tcW w:type="dxa" w:w="1344"/>
          </w:tcPr>
          <w:p>
            <w:pPr>
              <w:spacing w:after="40" w:line="240" w:lineRule="auto"/>
            </w:pPr>
            <w:r/>
            <w:r>
              <w:rPr>
                <w:rFonts w:ascii="Arial" w:hAnsi="Arial"/>
                <w:sz w:val="20"/>
              </w:rPr>
              <w:t>16,80%</w:t>
            </w:r>
          </w:p>
        </w:tc>
      </w:tr>
      <w:tr>
        <w:tc>
          <w:tcPr>
            <w:tcW w:type="dxa" w:w="1344"/>
          </w:tcPr>
          <w:p>
            <w:pPr>
              <w:spacing w:after="40" w:line="240" w:lineRule="auto"/>
            </w:pPr>
            <w:r/>
            <w:r>
              <w:rPr>
                <w:rFonts w:ascii="Arial" w:hAnsi="Arial"/>
                <w:sz w:val="20"/>
              </w:rPr>
              <w:t>Motor de Alto Rendimiento V8</w:t>
            </w:r>
          </w:p>
        </w:tc>
        <w:tc>
          <w:tcPr>
            <w:tcW w:type="dxa" w:w="1344"/>
          </w:tcPr>
          <w:p>
            <w:pPr>
              <w:spacing w:after="40" w:line="240" w:lineRule="auto"/>
            </w:pPr>
            <w:r/>
            <w:r>
              <w:rPr>
                <w:rFonts w:ascii="Arial" w:hAnsi="Arial"/>
                <w:sz w:val="20"/>
              </w:rPr>
              <w:t>Clásico</w:t>
            </w:r>
          </w:p>
        </w:tc>
        <w:tc>
          <w:tcPr>
            <w:tcW w:type="dxa" w:w="1344"/>
          </w:tcPr>
          <w:p>
            <w:pPr>
              <w:spacing w:after="40" w:line="240" w:lineRule="auto"/>
            </w:pPr>
            <w:r/>
            <w:r>
              <w:rPr>
                <w:rFonts w:ascii="Arial" w:hAnsi="Arial"/>
                <w:sz w:val="20"/>
              </w:rPr>
              <w:t>394</w:t>
            </w:r>
          </w:p>
        </w:tc>
        <w:tc>
          <w:tcPr>
            <w:tcW w:type="dxa" w:w="1344"/>
          </w:tcPr>
          <w:p>
            <w:pPr>
              <w:spacing w:after="40" w:line="240" w:lineRule="auto"/>
            </w:pPr>
            <w:r/>
            <w:r>
              <w:rPr>
                <w:rFonts w:ascii="Arial" w:hAnsi="Arial"/>
                <w:sz w:val="20"/>
              </w:rPr>
              <w:t>9.000</w:t>
            </w:r>
          </w:p>
        </w:tc>
        <w:tc>
          <w:tcPr>
            <w:tcW w:type="dxa" w:w="1344"/>
          </w:tcPr>
          <w:p>
            <w:pPr>
              <w:spacing w:after="40" w:line="240" w:lineRule="auto"/>
            </w:pPr>
            <w:r/>
            <w:r>
              <w:rPr>
                <w:rFonts w:ascii="Arial" w:hAnsi="Arial"/>
                <w:sz w:val="20"/>
              </w:rPr>
              <w:t>3.546.000</w:t>
            </w:r>
          </w:p>
        </w:tc>
        <w:tc>
          <w:tcPr>
            <w:tcW w:type="dxa" w:w="1344"/>
          </w:tcPr>
          <w:p>
            <w:pPr>
              <w:spacing w:after="40" w:line="240" w:lineRule="auto"/>
            </w:pPr>
            <w:r/>
            <w:r>
              <w:rPr>
                <w:rFonts w:ascii="Arial" w:hAnsi="Arial"/>
                <w:sz w:val="20"/>
              </w:rPr>
              <w:t>16,15%</w:t>
            </w:r>
          </w:p>
        </w:tc>
        <w:tc>
          <w:tcPr>
            <w:tcW w:type="dxa" w:w="1344"/>
          </w:tcPr>
          <w:p>
            <w:pPr>
              <w:spacing w:after="40" w:line="240" w:lineRule="auto"/>
            </w:pPr>
            <w:r/>
            <w:r>
              <w:rPr>
                <w:rFonts w:ascii="Arial" w:hAnsi="Arial"/>
                <w:sz w:val="20"/>
              </w:rPr>
              <w:t>32,95%</w:t>
            </w:r>
          </w:p>
        </w:tc>
      </w:tr>
      <w:tr>
        <w:tc>
          <w:tcPr>
            <w:tcW w:type="dxa" w:w="1344"/>
          </w:tcPr>
          <w:p>
            <w:pPr>
              <w:spacing w:after="40" w:line="240" w:lineRule="auto"/>
            </w:pPr>
            <w:r/>
            <w:r>
              <w:rPr>
                <w:rFonts w:ascii="Arial" w:hAnsi="Arial"/>
                <w:sz w:val="20"/>
              </w:rPr>
              <w:t>Motor de Cilindros en Línea Raro</w:t>
            </w:r>
          </w:p>
        </w:tc>
        <w:tc>
          <w:tcPr>
            <w:tcW w:type="dxa" w:w="1344"/>
          </w:tcPr>
          <w:p>
            <w:pPr>
              <w:spacing w:after="40" w:line="240" w:lineRule="auto"/>
            </w:pPr>
            <w:r/>
            <w:r>
              <w:rPr>
                <w:rFonts w:ascii="Arial" w:hAnsi="Arial"/>
                <w:sz w:val="20"/>
              </w:rPr>
              <w:t>Vintage</w:t>
            </w:r>
          </w:p>
        </w:tc>
        <w:tc>
          <w:tcPr>
            <w:tcW w:type="dxa" w:w="1344"/>
          </w:tcPr>
          <w:p>
            <w:pPr>
              <w:spacing w:after="40" w:line="240" w:lineRule="auto"/>
            </w:pPr>
            <w:r/>
            <w:r>
              <w:rPr>
                <w:rFonts w:ascii="Arial" w:hAnsi="Arial"/>
                <w:sz w:val="20"/>
              </w:rPr>
              <w:t>246</w:t>
            </w:r>
          </w:p>
        </w:tc>
        <w:tc>
          <w:tcPr>
            <w:tcW w:type="dxa" w:w="1344"/>
          </w:tcPr>
          <w:p>
            <w:pPr>
              <w:spacing w:after="40" w:line="240" w:lineRule="auto"/>
            </w:pPr>
            <w:r/>
            <w:r>
              <w:rPr>
                <w:rFonts w:ascii="Arial" w:hAnsi="Arial"/>
                <w:sz w:val="20"/>
              </w:rPr>
              <w:t>12.000</w:t>
            </w:r>
          </w:p>
        </w:tc>
        <w:tc>
          <w:tcPr>
            <w:tcW w:type="dxa" w:w="1344"/>
          </w:tcPr>
          <w:p>
            <w:pPr>
              <w:spacing w:after="40" w:line="240" w:lineRule="auto"/>
            </w:pPr>
            <w:r/>
            <w:r>
              <w:rPr>
                <w:rFonts w:ascii="Arial" w:hAnsi="Arial"/>
                <w:sz w:val="20"/>
              </w:rPr>
              <w:t>2.952.000</w:t>
            </w:r>
          </w:p>
        </w:tc>
        <w:tc>
          <w:tcPr>
            <w:tcW w:type="dxa" w:w="1344"/>
          </w:tcPr>
          <w:p>
            <w:pPr>
              <w:spacing w:after="40" w:line="240" w:lineRule="auto"/>
            </w:pPr>
            <w:r/>
            <w:r>
              <w:rPr>
                <w:rFonts w:ascii="Arial" w:hAnsi="Arial"/>
                <w:sz w:val="20"/>
              </w:rPr>
              <w:t>13,44%</w:t>
            </w:r>
          </w:p>
        </w:tc>
        <w:tc>
          <w:tcPr>
            <w:tcW w:type="dxa" w:w="1344"/>
          </w:tcPr>
          <w:p>
            <w:pPr>
              <w:spacing w:after="40" w:line="240" w:lineRule="auto"/>
            </w:pPr>
            <w:r/>
            <w:r>
              <w:rPr>
                <w:rFonts w:ascii="Arial" w:hAnsi="Arial"/>
                <w:sz w:val="20"/>
              </w:rPr>
              <w:t>46,39%</w:t>
            </w:r>
          </w:p>
        </w:tc>
      </w:tr>
      <w:tr>
        <w:tc>
          <w:tcPr>
            <w:tcW w:type="dxa" w:w="1344"/>
          </w:tcPr>
          <w:p>
            <w:pPr>
              <w:spacing w:after="40" w:line="240" w:lineRule="auto"/>
            </w:pPr>
            <w:r/>
            <w:r>
              <w:rPr>
                <w:rFonts w:ascii="Arial" w:hAnsi="Arial"/>
                <w:sz w:val="20"/>
              </w:rPr>
              <w:t>Carrocería Estándar (Fibra)</w:t>
            </w:r>
          </w:p>
        </w:tc>
        <w:tc>
          <w:tcPr>
            <w:tcW w:type="dxa" w:w="1344"/>
          </w:tcPr>
          <w:p>
            <w:pPr>
              <w:spacing w:after="40" w:line="240" w:lineRule="auto"/>
            </w:pPr>
            <w:r/>
            <w:r>
              <w:rPr>
                <w:rFonts w:ascii="Arial" w:hAnsi="Arial"/>
                <w:sz w:val="20"/>
              </w:rPr>
              <w:t>Clásico</w:t>
            </w:r>
          </w:p>
        </w:tc>
        <w:tc>
          <w:tcPr>
            <w:tcW w:type="dxa" w:w="1344"/>
          </w:tcPr>
          <w:p>
            <w:pPr>
              <w:spacing w:after="40" w:line="240" w:lineRule="auto"/>
            </w:pPr>
            <w:r/>
            <w:r>
              <w:rPr>
                <w:rFonts w:ascii="Arial" w:hAnsi="Arial"/>
                <w:sz w:val="20"/>
              </w:rPr>
              <w:t>394</w:t>
            </w:r>
          </w:p>
        </w:tc>
        <w:tc>
          <w:tcPr>
            <w:tcW w:type="dxa" w:w="1344"/>
          </w:tcPr>
          <w:p>
            <w:pPr>
              <w:spacing w:after="40" w:line="240" w:lineRule="auto"/>
            </w:pPr>
            <w:r/>
            <w:r>
              <w:rPr>
                <w:rFonts w:ascii="Arial" w:hAnsi="Arial"/>
                <w:sz w:val="20"/>
              </w:rPr>
              <w:t>6.500</w:t>
            </w:r>
          </w:p>
        </w:tc>
        <w:tc>
          <w:tcPr>
            <w:tcW w:type="dxa" w:w="1344"/>
          </w:tcPr>
          <w:p>
            <w:pPr>
              <w:spacing w:after="40" w:line="240" w:lineRule="auto"/>
            </w:pPr>
            <w:r/>
            <w:r>
              <w:rPr>
                <w:rFonts w:ascii="Arial" w:hAnsi="Arial"/>
                <w:sz w:val="20"/>
              </w:rPr>
              <w:t>2.561.000</w:t>
            </w:r>
          </w:p>
        </w:tc>
        <w:tc>
          <w:tcPr>
            <w:tcW w:type="dxa" w:w="1344"/>
          </w:tcPr>
          <w:p>
            <w:pPr>
              <w:spacing w:after="40" w:line="240" w:lineRule="auto"/>
            </w:pPr>
            <w:r/>
            <w:r>
              <w:rPr>
                <w:rFonts w:ascii="Arial" w:hAnsi="Arial"/>
                <w:sz w:val="20"/>
              </w:rPr>
              <w:t>11,66%</w:t>
            </w:r>
          </w:p>
        </w:tc>
        <w:tc>
          <w:tcPr>
            <w:tcW w:type="dxa" w:w="1344"/>
          </w:tcPr>
          <w:p>
            <w:pPr>
              <w:spacing w:after="40" w:line="240" w:lineRule="auto"/>
            </w:pPr>
            <w:r/>
            <w:r>
              <w:rPr>
                <w:rFonts w:ascii="Arial" w:hAnsi="Arial"/>
                <w:sz w:val="20"/>
              </w:rPr>
              <w:t>58,05%</w:t>
            </w:r>
          </w:p>
        </w:tc>
      </w:tr>
      <w:tr>
        <w:tc>
          <w:tcPr>
            <w:tcW w:type="dxa" w:w="1344"/>
          </w:tcPr>
          <w:p>
            <w:pPr>
              <w:spacing w:after="40" w:line="240" w:lineRule="auto"/>
            </w:pPr>
            <w:r/>
            <w:r>
              <w:rPr>
                <w:rFonts w:ascii="Arial" w:hAnsi="Arial"/>
                <w:sz w:val="20"/>
              </w:rPr>
              <w:t>Tapicería de Cuero Premium</w:t>
            </w:r>
          </w:p>
        </w:tc>
        <w:tc>
          <w:tcPr>
            <w:tcW w:type="dxa" w:w="1344"/>
          </w:tcPr>
          <w:p>
            <w:pPr>
              <w:spacing w:after="40" w:line="240" w:lineRule="auto"/>
            </w:pPr>
            <w:r/>
            <w:r>
              <w:rPr>
                <w:rFonts w:ascii="Arial" w:hAnsi="Arial"/>
                <w:sz w:val="20"/>
              </w:rPr>
              <w:t>Ambos</w:t>
            </w:r>
          </w:p>
        </w:tc>
        <w:tc>
          <w:tcPr>
            <w:tcW w:type="dxa" w:w="1344"/>
          </w:tcPr>
          <w:p>
            <w:pPr>
              <w:spacing w:after="40" w:line="240" w:lineRule="auto"/>
            </w:pPr>
            <w:r/>
            <w:r>
              <w:rPr>
                <w:rFonts w:ascii="Arial" w:hAnsi="Arial"/>
                <w:sz w:val="20"/>
              </w:rPr>
              <w:t>639</w:t>
            </w:r>
          </w:p>
        </w:tc>
        <w:tc>
          <w:tcPr>
            <w:tcW w:type="dxa" w:w="1344"/>
          </w:tcPr>
          <w:p>
            <w:pPr>
              <w:spacing w:after="40" w:line="240" w:lineRule="auto"/>
            </w:pPr>
            <w:r/>
            <w:r>
              <w:rPr>
                <w:rFonts w:ascii="Arial" w:hAnsi="Arial"/>
                <w:sz w:val="20"/>
              </w:rPr>
              <w:t>4.000</w:t>
            </w:r>
          </w:p>
        </w:tc>
        <w:tc>
          <w:tcPr>
            <w:tcW w:type="dxa" w:w="1344"/>
          </w:tcPr>
          <w:p>
            <w:pPr>
              <w:spacing w:after="40" w:line="240" w:lineRule="auto"/>
            </w:pPr>
            <w:r/>
            <w:r>
              <w:rPr>
                <w:rFonts w:ascii="Arial" w:hAnsi="Arial"/>
                <w:sz w:val="20"/>
              </w:rPr>
              <w:t>2.556.000</w:t>
            </w:r>
          </w:p>
        </w:tc>
        <w:tc>
          <w:tcPr>
            <w:tcW w:type="dxa" w:w="1344"/>
          </w:tcPr>
          <w:p>
            <w:pPr>
              <w:spacing w:after="40" w:line="240" w:lineRule="auto"/>
            </w:pPr>
            <w:r/>
            <w:r>
              <w:rPr>
                <w:rFonts w:ascii="Arial" w:hAnsi="Arial"/>
                <w:sz w:val="20"/>
              </w:rPr>
              <w:t>11,64%</w:t>
            </w:r>
          </w:p>
        </w:tc>
        <w:tc>
          <w:tcPr>
            <w:tcW w:type="dxa" w:w="1344"/>
          </w:tcPr>
          <w:p>
            <w:pPr>
              <w:spacing w:after="40" w:line="240" w:lineRule="auto"/>
            </w:pPr>
            <w:r/>
            <w:r>
              <w:rPr>
                <w:rFonts w:ascii="Arial" w:hAnsi="Arial"/>
                <w:sz w:val="20"/>
              </w:rPr>
              <w:t>69,69%</w:t>
            </w:r>
          </w:p>
        </w:tc>
      </w:tr>
    </w:tbl>
    <w:p/>
    <w:p>
      <w:r>
        <w:rPr>
          <w:rFonts w:ascii="Arial" w:hAnsi="Arial"/>
          <w:sz w:val="22"/>
        </w:rPr>
        <w:t>Una aclaración sobre la demanda anual. Sale de anualizar el histórico —los 1.545 vehículos de 29 meses llevados a doce y repartidos entre las dos líneas de producto—, y esa cuenta da un número fraccionario. Como los insumos son piezas indivisibles (no se consumen 245,79 carrocerías), redondeamos la demanda a unidades enteras y calculamos el valor de uso sobre esa cifra redondeada. Así la tabla cierra si se rehace la multiplicación a mano. El redondeo mueve los porcentajes menos de una décima de punto y no cambia ni el orden de los insumos ni la clase de ninguno.</w:t>
      </w:r>
    </w:p>
    <w:p>
      <w:r>
        <w:rPr>
          <w:rFonts w:ascii="Arial" w:hAnsi="Arial"/>
          <w:sz w:val="22"/>
        </w:rPr>
        <w:t xml:space="preserve">Todos estos insumos pertenecen a lo que técnicamente, referenciando al análisis realizado, se conoce como </w:t>
      </w:r>
      <w:r>
        <w:rPr>
          <w:rFonts w:ascii="Arial" w:hAnsi="Arial"/>
          <w:b/>
          <w:sz w:val="22"/>
        </w:rPr>
        <w:t>"Categoría A"</w:t>
      </w:r>
      <w:r>
        <w:rPr>
          <w:rFonts w:ascii="Arial" w:hAnsi="Arial"/>
          <w:sz w:val="22"/>
        </w:rPr>
        <w:t>, y son los que representan la grandísima mayoría de los costos, por lo cual les debemos prestar mayor atención. Sobre estos cinco se van a aplicar los modelos de inventario.</w:t>
      </w:r>
    </w:p>
    <w:p>
      <w:r>
        <w:rPr>
          <w:rFonts w:ascii="Arial" w:hAnsi="Arial"/>
          <w:sz w:val="22"/>
        </w:rPr>
        <w:t>El resto del catálogo queda así:</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81"/>
        <w:gridCol w:w="1881"/>
        <w:gridCol w:w="1881"/>
        <w:gridCol w:w="1881"/>
        <w:gridCol w:w="1881"/>
      </w:tblGrid>
      <w:tr>
        <w:tc>
          <w:tcPr>
            <w:tcW w:type="dxa" w:w="1881"/>
          </w:tcPr>
          <w:p>
            <w:pPr>
              <w:spacing w:after="40" w:line="240" w:lineRule="auto"/>
            </w:pPr>
            <w:r/>
            <w:r>
              <w:rPr>
                <w:rFonts w:ascii="Arial" w:hAnsi="Arial"/>
                <w:b/>
                <w:sz w:val="20"/>
              </w:rPr>
              <w:t>Insumo</w:t>
            </w:r>
          </w:p>
        </w:tc>
        <w:tc>
          <w:tcPr>
            <w:tcW w:type="dxa" w:w="1881"/>
          </w:tcPr>
          <w:p>
            <w:pPr>
              <w:spacing w:after="40" w:line="240" w:lineRule="auto"/>
            </w:pPr>
            <w:r/>
            <w:r>
              <w:rPr>
                <w:rFonts w:ascii="Arial" w:hAnsi="Arial"/>
                <w:b/>
                <w:sz w:val="20"/>
              </w:rPr>
              <w:t>Producto</w:t>
            </w:r>
          </w:p>
        </w:tc>
        <w:tc>
          <w:tcPr>
            <w:tcW w:type="dxa" w:w="1881"/>
          </w:tcPr>
          <w:p>
            <w:pPr>
              <w:spacing w:after="40" w:line="240" w:lineRule="auto"/>
            </w:pPr>
            <w:r/>
            <w:r>
              <w:rPr>
                <w:rFonts w:ascii="Arial" w:hAnsi="Arial"/>
                <w:b/>
                <w:sz w:val="20"/>
              </w:rPr>
              <w:t>Valor de uso</w:t>
            </w:r>
          </w:p>
        </w:tc>
        <w:tc>
          <w:tcPr>
            <w:tcW w:type="dxa" w:w="1881"/>
          </w:tcPr>
          <w:p>
            <w:pPr>
              <w:spacing w:after="40" w:line="240" w:lineRule="auto"/>
            </w:pPr>
            <w:r/>
            <w:r>
              <w:rPr>
                <w:rFonts w:ascii="Arial" w:hAnsi="Arial"/>
                <w:b/>
                <w:sz w:val="20"/>
              </w:rPr>
              <w:t>% acumulado</w:t>
            </w:r>
          </w:p>
        </w:tc>
        <w:tc>
          <w:tcPr>
            <w:tcW w:type="dxa" w:w="1881"/>
          </w:tcPr>
          <w:p>
            <w:pPr>
              <w:spacing w:after="40" w:line="240" w:lineRule="auto"/>
            </w:pPr>
            <w:r/>
            <w:r>
              <w:rPr>
                <w:rFonts w:ascii="Arial" w:hAnsi="Arial"/>
                <w:b/>
                <w:sz w:val="20"/>
              </w:rPr>
              <w:t>Clase</w:t>
            </w:r>
          </w:p>
        </w:tc>
      </w:tr>
      <w:tr>
        <w:tc>
          <w:tcPr>
            <w:tcW w:type="dxa" w:w="1881"/>
          </w:tcPr>
          <w:p>
            <w:pPr>
              <w:spacing w:after="40" w:line="240" w:lineRule="auto"/>
            </w:pPr>
            <w:r/>
            <w:r>
              <w:rPr>
                <w:rFonts w:ascii="Arial" w:hAnsi="Arial"/>
                <w:sz w:val="20"/>
              </w:rPr>
              <w:t>Juego de Llantas Vintage Espec.</w:t>
            </w:r>
          </w:p>
        </w:tc>
        <w:tc>
          <w:tcPr>
            <w:tcW w:type="dxa" w:w="1881"/>
          </w:tcPr>
          <w:p>
            <w:pPr>
              <w:spacing w:after="40" w:line="240" w:lineRule="auto"/>
            </w:pPr>
            <w:r/>
            <w:r>
              <w:rPr>
                <w:rFonts w:ascii="Arial" w:hAnsi="Arial"/>
                <w:sz w:val="20"/>
              </w:rPr>
              <w:t>Vintage</w:t>
            </w:r>
          </w:p>
        </w:tc>
        <w:tc>
          <w:tcPr>
            <w:tcW w:type="dxa" w:w="1881"/>
          </w:tcPr>
          <w:p>
            <w:pPr>
              <w:spacing w:after="40" w:line="240" w:lineRule="auto"/>
            </w:pPr>
            <w:r/>
            <w:r>
              <w:rPr>
                <w:rFonts w:ascii="Arial" w:hAnsi="Arial"/>
                <w:sz w:val="20"/>
              </w:rPr>
              <w:t>2.457.500</w:t>
            </w:r>
          </w:p>
        </w:tc>
        <w:tc>
          <w:tcPr>
            <w:tcW w:type="dxa" w:w="1881"/>
          </w:tcPr>
          <w:p>
            <w:pPr>
              <w:spacing w:after="40" w:line="240" w:lineRule="auto"/>
            </w:pPr>
            <w:r/>
            <w:r>
              <w:rPr>
                <w:rFonts w:ascii="Arial" w:hAnsi="Arial"/>
                <w:sz w:val="20"/>
              </w:rPr>
              <w:t>80,88%</w:t>
            </w:r>
          </w:p>
        </w:tc>
        <w:tc>
          <w:tcPr>
            <w:tcW w:type="dxa" w:w="1881"/>
          </w:tcPr>
          <w:p>
            <w:pPr>
              <w:spacing w:after="40" w:line="240" w:lineRule="auto"/>
            </w:pPr>
            <w:r/>
            <w:r>
              <w:rPr>
                <w:rFonts w:ascii="Arial" w:hAnsi="Arial"/>
                <w:sz w:val="20"/>
              </w:rPr>
              <w:t>B</w:t>
            </w:r>
          </w:p>
        </w:tc>
      </w:tr>
      <w:tr>
        <w:tc>
          <w:tcPr>
            <w:tcW w:type="dxa" w:w="1881"/>
          </w:tcPr>
          <w:p>
            <w:pPr>
              <w:spacing w:after="40" w:line="240" w:lineRule="auto"/>
            </w:pPr>
            <w:r/>
            <w:r>
              <w:rPr>
                <w:rFonts w:ascii="Arial" w:hAnsi="Arial"/>
                <w:sz w:val="20"/>
              </w:rPr>
              <w:t>Transmisión de 5 Velocidades</w:t>
            </w:r>
          </w:p>
        </w:tc>
        <w:tc>
          <w:tcPr>
            <w:tcW w:type="dxa" w:w="1881"/>
          </w:tcPr>
          <w:p>
            <w:pPr>
              <w:spacing w:after="40" w:line="240" w:lineRule="auto"/>
            </w:pPr>
            <w:r/>
            <w:r>
              <w:rPr>
                <w:rFonts w:ascii="Arial" w:hAnsi="Arial"/>
                <w:sz w:val="20"/>
              </w:rPr>
              <w:t>Ambos</w:t>
            </w:r>
          </w:p>
        </w:tc>
        <w:tc>
          <w:tcPr>
            <w:tcW w:type="dxa" w:w="1881"/>
          </w:tcPr>
          <w:p>
            <w:pPr>
              <w:spacing w:after="40" w:line="240" w:lineRule="auto"/>
            </w:pPr>
            <w:r/>
            <w:r>
              <w:rPr>
                <w:rFonts w:ascii="Arial" w:hAnsi="Arial"/>
                <w:sz w:val="20"/>
              </w:rPr>
              <w:t>2.236.500</w:t>
            </w:r>
          </w:p>
        </w:tc>
        <w:tc>
          <w:tcPr>
            <w:tcW w:type="dxa" w:w="1881"/>
          </w:tcPr>
          <w:p>
            <w:pPr>
              <w:spacing w:after="40" w:line="240" w:lineRule="auto"/>
            </w:pPr>
            <w:r/>
            <w:r>
              <w:rPr>
                <w:rFonts w:ascii="Arial" w:hAnsi="Arial"/>
                <w:sz w:val="20"/>
              </w:rPr>
              <w:t>91,06%</w:t>
            </w:r>
          </w:p>
        </w:tc>
        <w:tc>
          <w:tcPr>
            <w:tcW w:type="dxa" w:w="1881"/>
          </w:tcPr>
          <w:p>
            <w:pPr>
              <w:spacing w:after="40" w:line="240" w:lineRule="auto"/>
            </w:pPr>
            <w:r/>
            <w:r>
              <w:rPr>
                <w:rFonts w:ascii="Arial" w:hAnsi="Arial"/>
                <w:sz w:val="20"/>
              </w:rPr>
              <w:t>B</w:t>
            </w:r>
          </w:p>
        </w:tc>
      </w:tr>
      <w:tr>
        <w:tc>
          <w:tcPr>
            <w:tcW w:type="dxa" w:w="1881"/>
          </w:tcPr>
          <w:p>
            <w:pPr>
              <w:spacing w:after="40" w:line="240" w:lineRule="auto"/>
            </w:pPr>
            <w:r/>
            <w:r>
              <w:rPr>
                <w:rFonts w:ascii="Arial" w:hAnsi="Arial"/>
                <w:sz w:val="20"/>
              </w:rPr>
              <w:t>Cubiertas de Alta Gama</w:t>
            </w:r>
          </w:p>
        </w:tc>
        <w:tc>
          <w:tcPr>
            <w:tcW w:type="dxa" w:w="1881"/>
          </w:tcPr>
          <w:p>
            <w:pPr>
              <w:spacing w:after="40" w:line="240" w:lineRule="auto"/>
            </w:pPr>
            <w:r/>
            <w:r>
              <w:rPr>
                <w:rFonts w:ascii="Arial" w:hAnsi="Arial"/>
                <w:sz w:val="20"/>
              </w:rPr>
              <w:t>Ambos</w:t>
            </w:r>
          </w:p>
        </w:tc>
        <w:tc>
          <w:tcPr>
            <w:tcW w:type="dxa" w:w="1881"/>
          </w:tcPr>
          <w:p>
            <w:pPr>
              <w:spacing w:after="40" w:line="240" w:lineRule="auto"/>
            </w:pPr>
            <w:r/>
            <w:r>
              <w:rPr>
                <w:rFonts w:ascii="Arial" w:hAnsi="Arial"/>
                <w:sz w:val="20"/>
              </w:rPr>
              <w:t>639.250</w:t>
            </w:r>
          </w:p>
        </w:tc>
        <w:tc>
          <w:tcPr>
            <w:tcW w:type="dxa" w:w="1881"/>
          </w:tcPr>
          <w:p>
            <w:pPr>
              <w:spacing w:after="40" w:line="240" w:lineRule="auto"/>
            </w:pPr>
            <w:r/>
            <w:r>
              <w:rPr>
                <w:rFonts w:ascii="Arial" w:hAnsi="Arial"/>
                <w:sz w:val="20"/>
              </w:rPr>
              <w:t>93,97%</w:t>
            </w:r>
          </w:p>
        </w:tc>
        <w:tc>
          <w:tcPr>
            <w:tcW w:type="dxa" w:w="1881"/>
          </w:tcPr>
          <w:p>
            <w:pPr>
              <w:spacing w:after="40" w:line="240" w:lineRule="auto"/>
            </w:pPr>
            <w:r/>
            <w:r>
              <w:rPr>
                <w:rFonts w:ascii="Arial" w:hAnsi="Arial"/>
                <w:sz w:val="20"/>
              </w:rPr>
              <w:t>B</w:t>
            </w:r>
          </w:p>
        </w:tc>
      </w:tr>
      <w:tr>
        <w:tc>
          <w:tcPr>
            <w:tcW w:type="dxa" w:w="1881"/>
          </w:tcPr>
          <w:p>
            <w:pPr>
              <w:spacing w:after="40" w:line="240" w:lineRule="auto"/>
            </w:pPr>
            <w:r/>
            <w:r>
              <w:rPr>
                <w:rFonts w:ascii="Arial" w:hAnsi="Arial"/>
                <w:sz w:val="20"/>
              </w:rPr>
              <w:t>Llantas Regulares Cromados</w:t>
            </w:r>
          </w:p>
        </w:tc>
        <w:tc>
          <w:tcPr>
            <w:tcW w:type="dxa" w:w="1881"/>
          </w:tcPr>
          <w:p>
            <w:pPr>
              <w:spacing w:after="40" w:line="240" w:lineRule="auto"/>
            </w:pPr>
            <w:r/>
            <w:r>
              <w:rPr>
                <w:rFonts w:ascii="Arial" w:hAnsi="Arial"/>
                <w:sz w:val="20"/>
              </w:rPr>
              <w:t>Clásico</w:t>
            </w:r>
          </w:p>
        </w:tc>
        <w:tc>
          <w:tcPr>
            <w:tcW w:type="dxa" w:w="1881"/>
          </w:tcPr>
          <w:p>
            <w:pPr>
              <w:spacing w:after="40" w:line="240" w:lineRule="auto"/>
            </w:pPr>
            <w:r/>
            <w:r>
              <w:rPr>
                <w:rFonts w:ascii="Arial" w:hAnsi="Arial"/>
                <w:sz w:val="20"/>
              </w:rPr>
              <w:t>629.600</w:t>
            </w:r>
          </w:p>
        </w:tc>
        <w:tc>
          <w:tcPr>
            <w:tcW w:type="dxa" w:w="1881"/>
          </w:tcPr>
          <w:p>
            <w:pPr>
              <w:spacing w:after="40" w:line="240" w:lineRule="auto"/>
            </w:pPr>
            <w:r/>
            <w:r>
              <w:rPr>
                <w:rFonts w:ascii="Arial" w:hAnsi="Arial"/>
                <w:sz w:val="20"/>
              </w:rPr>
              <w:t>96,84%</w:t>
            </w:r>
          </w:p>
        </w:tc>
        <w:tc>
          <w:tcPr>
            <w:tcW w:type="dxa" w:w="1881"/>
          </w:tcPr>
          <w:p>
            <w:pPr>
              <w:spacing w:after="40" w:line="240" w:lineRule="auto"/>
            </w:pPr>
            <w:r/>
            <w:r>
              <w:rPr>
                <w:rFonts w:ascii="Arial" w:hAnsi="Arial"/>
                <w:sz w:val="20"/>
              </w:rPr>
              <w:t>C</w:t>
            </w:r>
          </w:p>
        </w:tc>
      </w:tr>
      <w:tr>
        <w:tc>
          <w:tcPr>
            <w:tcW w:type="dxa" w:w="1881"/>
          </w:tcPr>
          <w:p>
            <w:pPr>
              <w:spacing w:after="40" w:line="240" w:lineRule="auto"/>
            </w:pPr>
            <w:r/>
            <w:r>
              <w:rPr>
                <w:rFonts w:ascii="Arial" w:hAnsi="Arial"/>
                <w:sz w:val="20"/>
              </w:rPr>
              <w:t>Sistema de Inyección Electrónica</w:t>
            </w:r>
          </w:p>
        </w:tc>
        <w:tc>
          <w:tcPr>
            <w:tcW w:type="dxa" w:w="1881"/>
          </w:tcPr>
          <w:p>
            <w:pPr>
              <w:spacing w:after="40" w:line="240" w:lineRule="auto"/>
            </w:pPr>
            <w:r/>
            <w:r>
              <w:rPr>
                <w:rFonts w:ascii="Arial" w:hAnsi="Arial"/>
                <w:sz w:val="20"/>
              </w:rPr>
              <w:t>Clásico</w:t>
            </w:r>
          </w:p>
        </w:tc>
        <w:tc>
          <w:tcPr>
            <w:tcW w:type="dxa" w:w="1881"/>
          </w:tcPr>
          <w:p>
            <w:pPr>
              <w:spacing w:after="40" w:line="240" w:lineRule="auto"/>
            </w:pPr>
            <w:r/>
            <w:r>
              <w:rPr>
                <w:rFonts w:ascii="Arial" w:hAnsi="Arial"/>
                <w:sz w:val="20"/>
              </w:rPr>
              <w:t>472.800</w:t>
            </w:r>
          </w:p>
        </w:tc>
        <w:tc>
          <w:tcPr>
            <w:tcW w:type="dxa" w:w="1881"/>
          </w:tcPr>
          <w:p>
            <w:pPr>
              <w:spacing w:after="40" w:line="240" w:lineRule="auto"/>
            </w:pPr>
            <w:r/>
            <w:r>
              <w:rPr>
                <w:rFonts w:ascii="Arial" w:hAnsi="Arial"/>
                <w:sz w:val="20"/>
              </w:rPr>
              <w:t>98,99%</w:t>
            </w:r>
          </w:p>
        </w:tc>
        <w:tc>
          <w:tcPr>
            <w:tcW w:type="dxa" w:w="1881"/>
          </w:tcPr>
          <w:p>
            <w:pPr>
              <w:spacing w:after="40" w:line="240" w:lineRule="auto"/>
            </w:pPr>
            <w:r/>
            <w:r>
              <w:rPr>
                <w:rFonts w:ascii="Arial" w:hAnsi="Arial"/>
                <w:sz w:val="20"/>
              </w:rPr>
              <w:t>C</w:t>
            </w:r>
          </w:p>
        </w:tc>
      </w:tr>
      <w:tr>
        <w:tc>
          <w:tcPr>
            <w:tcW w:type="dxa" w:w="1881"/>
          </w:tcPr>
          <w:p>
            <w:pPr>
              <w:spacing w:after="40" w:line="240" w:lineRule="auto"/>
            </w:pPr>
            <w:r/>
            <w:r>
              <w:rPr>
                <w:rFonts w:ascii="Arial" w:hAnsi="Arial"/>
                <w:sz w:val="20"/>
              </w:rPr>
              <w:t>Set de Carburadores Dobles</w:t>
            </w:r>
          </w:p>
        </w:tc>
        <w:tc>
          <w:tcPr>
            <w:tcW w:type="dxa" w:w="1881"/>
          </w:tcPr>
          <w:p>
            <w:pPr>
              <w:spacing w:after="40" w:line="240" w:lineRule="auto"/>
            </w:pPr>
            <w:r/>
            <w:r>
              <w:rPr>
                <w:rFonts w:ascii="Arial" w:hAnsi="Arial"/>
                <w:sz w:val="20"/>
              </w:rPr>
              <w:t>Vintage</w:t>
            </w:r>
          </w:p>
        </w:tc>
        <w:tc>
          <w:tcPr>
            <w:tcW w:type="dxa" w:w="1881"/>
          </w:tcPr>
          <w:p>
            <w:pPr>
              <w:spacing w:after="40" w:line="240" w:lineRule="auto"/>
            </w:pPr>
            <w:r/>
            <w:r>
              <w:rPr>
                <w:rFonts w:ascii="Arial" w:hAnsi="Arial"/>
                <w:sz w:val="20"/>
              </w:rPr>
              <w:t>221.400</w:t>
            </w:r>
          </w:p>
        </w:tc>
        <w:tc>
          <w:tcPr>
            <w:tcW w:type="dxa" w:w="1881"/>
          </w:tcPr>
          <w:p>
            <w:pPr>
              <w:spacing w:after="40" w:line="240" w:lineRule="auto"/>
            </w:pPr>
            <w:r/>
            <w:r>
              <w:rPr>
                <w:rFonts w:ascii="Arial" w:hAnsi="Arial"/>
                <w:sz w:val="20"/>
              </w:rPr>
              <w:t>100,00%</w:t>
            </w:r>
          </w:p>
        </w:tc>
        <w:tc>
          <w:tcPr>
            <w:tcW w:type="dxa" w:w="1881"/>
          </w:tcPr>
          <w:p>
            <w:pPr>
              <w:spacing w:after="40" w:line="240" w:lineRule="auto"/>
            </w:pPr>
            <w:r/>
            <w:r>
              <w:rPr>
                <w:rFonts w:ascii="Arial" w:hAnsi="Arial"/>
                <w:sz w:val="20"/>
              </w:rPr>
              <w:t>C</w:t>
            </w:r>
          </w:p>
        </w:tc>
      </w:tr>
    </w:tbl>
    <w:p/>
    <w:p>
      <w:r>
        <w:rPr>
          <w:rFonts w:ascii="Arial" w:hAnsi="Arial"/>
          <w:sz w:val="22"/>
        </w:rPr>
        <w:t>Vale una aclaración sobre dónde cortamos. El insumo que cruza el 80% es el Juego de Llantas Vintage, que llega al 80,88% acumulado. Podríamos haberlo metido en la Categoría A y sumar once puntos porcentuales más, pero es el de menor costo unitario del grupo y el que menos duele si falta una unidad. Preferimos quedarnos con cinco insumos parejos en valor unitario alto, que es donde el esfuerzo de modelado rinde.</w:t>
      </w:r>
    </w:p>
    <w:p>
      <w:pPr>
        <w:keepNext/>
        <w:spacing w:before="360" w:after="120"/>
      </w:pPr>
      <w:r>
        <w:rPr>
          <w:rFonts w:ascii="Arial" w:hAnsi="Arial"/>
          <w:b/>
          <w:sz w:val="32"/>
        </w:rPr>
        <w:t>1.3. La variabilidad de la demanda</w:t>
      </w:r>
    </w:p>
    <w:p>
      <w:r>
        <w:rPr>
          <w:rFonts w:ascii="Arial" w:hAnsi="Arial"/>
          <w:sz w:val="22"/>
        </w:rPr>
        <w:t>Realizar un análisis del tipo ABC/XYZ contrastando qué productos son los más importantes junto con su variabilidad en ventas pierde un poco el sentido en nuestro caso, y ahora vamos a ver por qué. Igual dejamos la tabla, porque el resultado tiene una consecuencia importante para lo que sigue.</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51"/>
        <w:gridCol w:w="2351"/>
        <w:gridCol w:w="2351"/>
        <w:gridCol w:w="2351"/>
      </w:tblGrid>
      <w:tr>
        <w:tc>
          <w:tcPr>
            <w:tcW w:type="dxa" w:w="2351"/>
          </w:tcPr>
          <w:p>
            <w:pPr>
              <w:spacing w:after="40" w:line="240" w:lineRule="auto"/>
            </w:pPr>
            <w:r/>
            <w:r>
              <w:rPr>
                <w:rFonts w:ascii="Arial" w:hAnsi="Arial"/>
                <w:b/>
                <w:sz w:val="20"/>
              </w:rPr>
              <w:t>Perfil</w:t>
            </w:r>
          </w:p>
        </w:tc>
        <w:tc>
          <w:tcPr>
            <w:tcW w:type="dxa" w:w="2351"/>
          </w:tcPr>
          <w:p>
            <w:pPr>
              <w:spacing w:after="40" w:line="240" w:lineRule="auto"/>
            </w:pPr>
            <w:r/>
            <w:r>
              <w:rPr>
                <w:rFonts w:ascii="Arial" w:hAnsi="Arial"/>
                <w:b/>
                <w:sz w:val="20"/>
              </w:rPr>
              <w:t>Insumos</w:t>
            </w:r>
          </w:p>
        </w:tc>
        <w:tc>
          <w:tcPr>
            <w:tcW w:type="dxa" w:w="2351"/>
          </w:tcPr>
          <w:p>
            <w:pPr>
              <w:spacing w:after="40" w:line="240" w:lineRule="auto"/>
            </w:pPr>
            <w:r/>
            <w:r>
              <w:rPr>
                <w:rFonts w:ascii="Arial" w:hAnsi="Arial"/>
                <w:b/>
                <w:sz w:val="20"/>
              </w:rPr>
              <w:t>CV mensual</w:t>
            </w:r>
          </w:p>
        </w:tc>
        <w:tc>
          <w:tcPr>
            <w:tcW w:type="dxa" w:w="2351"/>
          </w:tcPr>
          <w:p>
            <w:pPr>
              <w:spacing w:after="40" w:line="240" w:lineRule="auto"/>
            </w:pPr>
            <w:r/>
            <w:r>
              <w:rPr>
                <w:rFonts w:ascii="Arial" w:hAnsi="Arial"/>
                <w:b/>
                <w:sz w:val="20"/>
              </w:rPr>
              <w:t>Clase</w:t>
            </w:r>
          </w:p>
        </w:tc>
      </w:tr>
      <w:tr>
        <w:tc>
          <w:tcPr>
            <w:tcW w:type="dxa" w:w="2351"/>
          </w:tcPr>
          <w:p>
            <w:pPr>
              <w:spacing w:after="40" w:line="240" w:lineRule="auto"/>
            </w:pPr>
            <w:r/>
            <w:r>
              <w:rPr>
                <w:rFonts w:ascii="Arial" w:hAnsi="Arial"/>
                <w:sz w:val="20"/>
              </w:rPr>
              <w:t>Vintage</w:t>
            </w:r>
          </w:p>
        </w:tc>
        <w:tc>
          <w:tcPr>
            <w:tcW w:type="dxa" w:w="2351"/>
          </w:tcPr>
          <w:p>
            <w:pPr>
              <w:spacing w:after="40" w:line="240" w:lineRule="auto"/>
            </w:pPr>
            <w:r/>
            <w:r>
              <w:rPr>
                <w:rFonts w:ascii="Arial" w:hAnsi="Arial"/>
                <w:sz w:val="20"/>
              </w:rPr>
              <w:t>Carrocería Artesanal, Motor Raro, Carburadores, Llantas Vintage</w:t>
            </w:r>
          </w:p>
        </w:tc>
        <w:tc>
          <w:tcPr>
            <w:tcW w:type="dxa" w:w="2351"/>
          </w:tcPr>
          <w:p>
            <w:pPr>
              <w:spacing w:after="40" w:line="240" w:lineRule="auto"/>
            </w:pPr>
            <w:r/>
            <w:r>
              <w:rPr>
                <w:rFonts w:ascii="Arial" w:hAnsi="Arial"/>
                <w:sz w:val="20"/>
              </w:rPr>
              <w:t>71,76%</w:t>
            </w:r>
          </w:p>
        </w:tc>
        <w:tc>
          <w:tcPr>
            <w:tcW w:type="dxa" w:w="2351"/>
          </w:tcPr>
          <w:p>
            <w:pPr>
              <w:spacing w:after="40" w:line="240" w:lineRule="auto"/>
            </w:pPr>
            <w:r/>
            <w:r>
              <w:rPr>
                <w:rFonts w:ascii="Arial" w:hAnsi="Arial"/>
                <w:sz w:val="20"/>
              </w:rPr>
              <w:t>Z</w:t>
            </w:r>
          </w:p>
        </w:tc>
      </w:tr>
      <w:tr>
        <w:tc>
          <w:tcPr>
            <w:tcW w:type="dxa" w:w="2351"/>
          </w:tcPr>
          <w:p>
            <w:pPr>
              <w:spacing w:after="40" w:line="240" w:lineRule="auto"/>
            </w:pPr>
            <w:r/>
            <w:r>
              <w:rPr>
                <w:rFonts w:ascii="Arial" w:hAnsi="Arial"/>
                <w:sz w:val="20"/>
              </w:rPr>
              <w:t>Ambos</w:t>
            </w:r>
          </w:p>
        </w:tc>
        <w:tc>
          <w:tcPr>
            <w:tcW w:type="dxa" w:w="2351"/>
          </w:tcPr>
          <w:p>
            <w:pPr>
              <w:spacing w:after="40" w:line="240" w:lineRule="auto"/>
            </w:pPr>
            <w:r/>
            <w:r>
              <w:rPr>
                <w:rFonts w:ascii="Arial" w:hAnsi="Arial"/>
                <w:sz w:val="20"/>
              </w:rPr>
              <w:t>Tapicería, Transmisión, Cubiertas</w:t>
            </w:r>
          </w:p>
        </w:tc>
        <w:tc>
          <w:tcPr>
            <w:tcW w:type="dxa" w:w="2351"/>
          </w:tcPr>
          <w:p>
            <w:pPr>
              <w:spacing w:after="40" w:line="240" w:lineRule="auto"/>
            </w:pPr>
            <w:r/>
            <w:r>
              <w:rPr>
                <w:rFonts w:ascii="Arial" w:hAnsi="Arial"/>
                <w:sz w:val="20"/>
              </w:rPr>
              <w:t>73,94%</w:t>
            </w:r>
          </w:p>
        </w:tc>
        <w:tc>
          <w:tcPr>
            <w:tcW w:type="dxa" w:w="2351"/>
          </w:tcPr>
          <w:p>
            <w:pPr>
              <w:spacing w:after="40" w:line="240" w:lineRule="auto"/>
            </w:pPr>
            <w:r/>
            <w:r>
              <w:rPr>
                <w:rFonts w:ascii="Arial" w:hAnsi="Arial"/>
                <w:sz w:val="20"/>
              </w:rPr>
              <w:t>Z</w:t>
            </w:r>
          </w:p>
        </w:tc>
      </w:tr>
      <w:tr>
        <w:tc>
          <w:tcPr>
            <w:tcW w:type="dxa" w:w="2351"/>
          </w:tcPr>
          <w:p>
            <w:pPr>
              <w:spacing w:after="40" w:line="240" w:lineRule="auto"/>
            </w:pPr>
            <w:r/>
            <w:r>
              <w:rPr>
                <w:rFonts w:ascii="Arial" w:hAnsi="Arial"/>
                <w:sz w:val="20"/>
              </w:rPr>
              <w:t>Clásico</w:t>
            </w:r>
          </w:p>
        </w:tc>
        <w:tc>
          <w:tcPr>
            <w:tcW w:type="dxa" w:w="2351"/>
          </w:tcPr>
          <w:p>
            <w:pPr>
              <w:spacing w:after="40" w:line="240" w:lineRule="auto"/>
            </w:pPr>
            <w:r/>
            <w:r>
              <w:rPr>
                <w:rFonts w:ascii="Arial" w:hAnsi="Arial"/>
                <w:sz w:val="20"/>
              </w:rPr>
              <w:t>Motor V8, Carrocería Estándar, Inyección, Llantas Cromados</w:t>
            </w:r>
          </w:p>
        </w:tc>
        <w:tc>
          <w:tcPr>
            <w:tcW w:type="dxa" w:w="2351"/>
          </w:tcPr>
          <w:p>
            <w:pPr>
              <w:spacing w:after="40" w:line="240" w:lineRule="auto"/>
            </w:pPr>
            <w:r/>
            <w:r>
              <w:rPr>
                <w:rFonts w:ascii="Arial" w:hAnsi="Arial"/>
                <w:sz w:val="20"/>
              </w:rPr>
              <w:t>77,67%</w:t>
            </w:r>
          </w:p>
        </w:tc>
        <w:tc>
          <w:tcPr>
            <w:tcW w:type="dxa" w:w="2351"/>
          </w:tcPr>
          <w:p>
            <w:pPr>
              <w:spacing w:after="40" w:line="240" w:lineRule="auto"/>
            </w:pPr>
            <w:r/>
            <w:r>
              <w:rPr>
                <w:rFonts w:ascii="Arial" w:hAnsi="Arial"/>
                <w:sz w:val="20"/>
              </w:rPr>
              <w:t>Z</w:t>
            </w:r>
          </w:p>
        </w:tc>
      </w:tr>
    </w:tbl>
    <w:p/>
    <w:p>
      <w:r>
        <w:rPr>
          <w:rFonts w:ascii="Arial" w:hAnsi="Arial"/>
          <w:sz w:val="22"/>
        </w:rPr>
        <w:t>Como cada insumo se consume en proporción fija a los Clásicos, a los Vintage o a los dos, solamente existen tres perfiles de variabilidad posibles. Y los tres superan largamente el umbral del 25%. La totalidad de los insumos cuentan con una desviación de demanda demasiado grande, entendiendo así que estamos presenciando un caso altamente irregular e impredecible.</w:t>
      </w:r>
    </w:p>
    <w:p>
      <w:r>
        <w:rPr>
          <w:rFonts w:ascii="Arial" w:hAnsi="Arial"/>
          <w:sz w:val="22"/>
        </w:rPr>
        <w:t>O sea que la matriz ABC/XYZ nos da todo AZ, BZ o CZ. Si todos los productos son del tipo "Z", simplemente podemos decir que toda nuestra cartera es volátil independientemente del producto, y el análisis XYZ no nos sirve para segmentar nada que el ABC no haya segmentado ya.</w:t>
      </w:r>
    </w:p>
    <w:p>
      <w:r>
        <w:rPr>
          <w:rFonts w:ascii="Arial" w:hAnsi="Arial"/>
          <w:sz w:val="22"/>
        </w:rPr>
        <w:t xml:space="preserve">Pero sí nos sirve para otra cosa, y es la conclusión importante de esta sección: </w:t>
      </w:r>
      <w:r>
        <w:rPr>
          <w:rFonts w:ascii="Arial" w:hAnsi="Arial"/>
          <w:b/>
          <w:sz w:val="22"/>
        </w:rPr>
        <w:t>con esta variabilidad la demanda no se puede tratar como si fuera constante</w:t>
      </w:r>
      <w:r>
        <w:rPr>
          <w:rFonts w:ascii="Arial" w:hAnsi="Arial"/>
          <w:sz w:val="22"/>
        </w:rPr>
        <w:t>. Eso descarta de entrada el modelo EOQ clásico del capítulo 15 de Winston y nos obliga a trabajar con los modelos probabilísticos del capítulo 16. Volveremos sobre esto más adelante.</w:t>
      </w:r>
    </w:p>
    <w:p>
      <w:pPr>
        <w:keepNext/>
        <w:spacing w:before="360" w:after="120"/>
      </w:pPr>
      <w:r>
        <w:rPr>
          <w:rFonts w:ascii="Arial" w:hAnsi="Arial"/>
          <w:b/>
          <w:sz w:val="32"/>
        </w:rPr>
        <w:t>1.4. El comportamiento estacional</w:t>
      </w:r>
    </w:p>
    <w:p>
      <w:r>
        <w:rPr>
          <w:rFonts w:ascii="Arial" w:hAnsi="Arial"/>
          <w:sz w:val="22"/>
        </w:rPr>
        <w:t>Se estudió de cerca cómo es el comportamiento de las ventas en base al calendario, y se encontró curiosamente un período estacional muy marcado. Puntualmente alrededor del mes de noviembre de 2003 y de 2004.</w:t>
      </w:r>
    </w:p>
    <w:p>
      <w:r>
        <w:rPr>
          <w:rFonts w:ascii="Arial" w:hAnsi="Arial"/>
          <w:sz w:val="22"/>
        </w:rPr>
        <w:t>El dato tomó mayor notoriedad cuando entendemos que las ventas respecto del mes de octubre casi se duplican para noviembre, y vuelven a caer a valores más bajos que el décimo mes para diciembre. Noviembre concentra casi el triple del promedio mensual, y el patrón se repite prácticamente idéntico en los dos años completos que tiene el histórico.</w:t>
      </w:r>
    </w:p>
    <w:p>
      <w:r>
        <w:rPr>
          <w:rFonts w:ascii="Arial" w:hAnsi="Arial"/>
          <w:sz w:val="22"/>
        </w:rPr>
        <w:t>Esta información nos es útil por dos motivos. El primero es que un patrón que se repite es un patrón que se puede pronosticar, así que juega a favor. El segundo es que claramente estamos ante la necesidad de preparar el almacén para absorber esa punta, cosa que retomaremos en la sección del galpón.</w:t>
      </w:r>
    </w:p>
    <w:p>
      <w:pPr>
        <w:keepNext/>
        <w:spacing w:before="400" w:after="120"/>
      </w:pPr>
      <w:r>
        <w:rPr>
          <w:rFonts w:ascii="Arial" w:hAnsi="Arial"/>
          <w:b w:val="0"/>
          <w:sz w:val="40"/>
        </w:rPr>
        <w:t>2. Pronóstico de la Demanda</w:t>
      </w:r>
    </w:p>
    <w:p>
      <w:r>
        <w:rPr>
          <w:rFonts w:ascii="Arial" w:hAnsi="Arial"/>
          <w:sz w:val="22"/>
        </w:rPr>
        <w:t>Una vez en claro la demanda de los productos objetos de estudio, nos encontramos disponibles para comenzar a hacer el interesante trabajo de pronosticar la demanda para los tiempos venideros.</w:t>
      </w:r>
    </w:p>
    <w:p>
      <w:r>
        <w:rPr>
          <w:rFonts w:ascii="Arial" w:hAnsi="Arial"/>
          <w:sz w:val="22"/>
        </w:rPr>
        <w:t>Los datos que se facilitaron fueron hasta el mes de mayo del 2005, y generamos un pronóstico de 12 meses que podría tomarse desde junio de 2005 a mayo de 2006, o si fuera contemporáneo, igual pero para el año actual.</w:t>
      </w:r>
    </w:p>
    <w:p>
      <w:pPr>
        <w:keepNext/>
        <w:spacing w:before="360" w:after="120"/>
      </w:pPr>
      <w:r>
        <w:rPr>
          <w:rFonts w:ascii="Arial" w:hAnsi="Arial"/>
          <w:b/>
          <w:sz w:val="32"/>
        </w:rPr>
        <w:t>2.1. Holt-Winters</w:t>
      </w:r>
    </w:p>
    <w:p>
      <w:r>
        <w:rPr>
          <w:rFonts w:ascii="Arial" w:hAnsi="Arial"/>
          <w:sz w:val="22"/>
        </w:rPr>
        <w:t>Una primera predicción se alcanzó utilizando el modelo de Holt-Winters, que se aplica a este tipo de problemas con estacionalidad. Se seleccionó el modelo aditivo ya que la estacionalidad se visualiza de manera constante en magnitud en los períodos en que se da: el pico de noviembre tiene una altura parecida en 2003 y en 2004, o sea que la estacionalidad suma una cantidad más o menos fija en vez de multiplicar el nivel.</w:t>
      </w:r>
    </w:p>
    <w:p>
      <w:r>
        <w:rPr>
          <w:rFonts w:ascii="Arial" w:hAnsi="Arial"/>
          <w:sz w:val="22"/>
        </w:rPr>
        <w:t>El modelo ajusta los parámetros alpha, beta y gamma de la siguiente manera:</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35"/>
        <w:gridCol w:w="3135"/>
        <w:gridCol w:w="3135"/>
      </w:tblGrid>
      <w:tr>
        <w:tc>
          <w:tcPr>
            <w:tcW w:type="dxa" w:w="3135"/>
          </w:tcPr>
          <w:p>
            <w:pPr>
              <w:spacing w:after="40" w:line="240" w:lineRule="auto"/>
            </w:pPr>
            <w:r/>
            <w:r>
              <w:rPr>
                <w:rFonts w:ascii="Arial" w:hAnsi="Arial"/>
                <w:b/>
                <w:sz w:val="20"/>
              </w:rPr>
              <w:t>Parámetro</w:t>
            </w:r>
          </w:p>
        </w:tc>
        <w:tc>
          <w:tcPr>
            <w:tcW w:type="dxa" w:w="3135"/>
          </w:tcPr>
          <w:p>
            <w:pPr>
              <w:spacing w:after="40" w:line="240" w:lineRule="auto"/>
            </w:pPr>
            <w:r/>
            <w:r>
              <w:rPr>
                <w:rFonts w:ascii="Arial" w:hAnsi="Arial"/>
                <w:b/>
                <w:sz w:val="20"/>
              </w:rPr>
              <w:t>Valor</w:t>
            </w:r>
          </w:p>
        </w:tc>
        <w:tc>
          <w:tcPr>
            <w:tcW w:type="dxa" w:w="3135"/>
          </w:tcPr>
          <w:p>
            <w:pPr>
              <w:spacing w:after="40" w:line="240" w:lineRule="auto"/>
            </w:pPr>
            <w:r/>
            <w:r>
              <w:rPr>
                <w:rFonts w:ascii="Arial" w:hAnsi="Arial"/>
                <w:b/>
                <w:sz w:val="20"/>
              </w:rPr>
              <w:t>Significado</w:t>
            </w:r>
          </w:p>
        </w:tc>
      </w:tr>
      <w:tr>
        <w:tc>
          <w:tcPr>
            <w:tcW w:type="dxa" w:w="3135"/>
          </w:tcPr>
          <w:p>
            <w:pPr>
              <w:spacing w:after="40" w:line="240" w:lineRule="auto"/>
            </w:pPr>
            <w:r/>
            <w:r>
              <w:rPr>
                <w:rFonts w:ascii="Arial" w:hAnsi="Arial"/>
                <w:sz w:val="20"/>
              </w:rPr>
              <w:t>α</w:t>
            </w:r>
          </w:p>
        </w:tc>
        <w:tc>
          <w:tcPr>
            <w:tcW w:type="dxa" w:w="3135"/>
          </w:tcPr>
          <w:p>
            <w:pPr>
              <w:spacing w:after="40" w:line="240" w:lineRule="auto"/>
            </w:pPr>
            <w:r/>
            <w:r>
              <w:rPr>
                <w:rFonts w:ascii="Arial" w:hAnsi="Arial"/>
                <w:sz w:val="20"/>
              </w:rPr>
              <w:t>0</w:t>
            </w:r>
          </w:p>
        </w:tc>
        <w:tc>
          <w:tcPr>
            <w:tcW w:type="dxa" w:w="3135"/>
          </w:tcPr>
          <w:p>
            <w:pPr>
              <w:spacing w:after="40" w:line="240" w:lineRule="auto"/>
            </w:pPr>
            <w:r/>
            <w:r>
              <w:rPr>
                <w:rFonts w:ascii="Arial" w:hAnsi="Arial"/>
                <w:sz w:val="20"/>
              </w:rPr>
              <w:t>No actualiza el nivel</w:t>
            </w:r>
          </w:p>
        </w:tc>
      </w:tr>
      <w:tr>
        <w:tc>
          <w:tcPr>
            <w:tcW w:type="dxa" w:w="3135"/>
          </w:tcPr>
          <w:p>
            <w:pPr>
              <w:spacing w:after="40" w:line="240" w:lineRule="auto"/>
            </w:pPr>
            <w:r/>
            <w:r>
              <w:rPr>
                <w:rFonts w:ascii="Arial" w:hAnsi="Arial"/>
                <w:sz w:val="20"/>
              </w:rPr>
              <w:t>β</w:t>
            </w:r>
          </w:p>
        </w:tc>
        <w:tc>
          <w:tcPr>
            <w:tcW w:type="dxa" w:w="3135"/>
          </w:tcPr>
          <w:p>
            <w:pPr>
              <w:spacing w:after="40" w:line="240" w:lineRule="auto"/>
            </w:pPr>
            <w:r/>
            <w:r>
              <w:rPr>
                <w:rFonts w:ascii="Arial" w:hAnsi="Arial"/>
                <w:sz w:val="20"/>
              </w:rPr>
              <w:t>0</w:t>
            </w:r>
          </w:p>
        </w:tc>
        <w:tc>
          <w:tcPr>
            <w:tcW w:type="dxa" w:w="3135"/>
          </w:tcPr>
          <w:p>
            <w:pPr>
              <w:spacing w:after="40" w:line="240" w:lineRule="auto"/>
            </w:pPr>
            <w:r/>
            <w:r>
              <w:rPr>
                <w:rFonts w:ascii="Arial" w:hAnsi="Arial"/>
                <w:sz w:val="20"/>
              </w:rPr>
              <w:t>No hay tendencia</w:t>
            </w:r>
          </w:p>
        </w:tc>
      </w:tr>
      <w:tr>
        <w:tc>
          <w:tcPr>
            <w:tcW w:type="dxa" w:w="3135"/>
          </w:tcPr>
          <w:p>
            <w:pPr>
              <w:spacing w:after="40" w:line="240" w:lineRule="auto"/>
            </w:pPr>
            <w:r/>
            <w:r>
              <w:rPr>
                <w:rFonts w:ascii="Arial" w:hAnsi="Arial"/>
                <w:sz w:val="20"/>
              </w:rPr>
              <w:t>γ</w:t>
            </w:r>
          </w:p>
        </w:tc>
        <w:tc>
          <w:tcPr>
            <w:tcW w:type="dxa" w:w="3135"/>
          </w:tcPr>
          <w:p>
            <w:pPr>
              <w:spacing w:after="40" w:line="240" w:lineRule="auto"/>
            </w:pPr>
            <w:r/>
            <w:r>
              <w:rPr>
                <w:rFonts w:ascii="Arial" w:hAnsi="Arial"/>
                <w:sz w:val="20"/>
              </w:rPr>
              <w:t>0</w:t>
            </w:r>
          </w:p>
        </w:tc>
        <w:tc>
          <w:tcPr>
            <w:tcW w:type="dxa" w:w="3135"/>
          </w:tcPr>
          <w:p>
            <w:pPr>
              <w:spacing w:after="40" w:line="240" w:lineRule="auto"/>
            </w:pPr>
            <w:r/>
            <w:r>
              <w:rPr>
                <w:rFonts w:ascii="Arial" w:hAnsi="Arial"/>
                <w:sz w:val="20"/>
              </w:rPr>
              <w:t>No actualiza la estacionalidad</w:t>
            </w:r>
          </w:p>
        </w:tc>
      </w:tr>
    </w:tbl>
    <w:p/>
    <w:p>
      <w:r>
        <w:rPr>
          <w:rFonts w:ascii="Arial" w:hAnsi="Arial"/>
          <w:sz w:val="22"/>
        </w:rPr>
        <w:t>Los tres dan cero, y esto merece una explicación porque a primera vista parece un error. No lo es: el optimizador nos está diciendo que no conviene actualizar nada con las observaciones nuevas, porque el patrón se repite casi igual todos los años. El modelo termina siendo un promedio estacional fijo, calculado en la inicialización y sostenido para siempre. Es un ajuste degenerado, pero es coherente con lo que muestran los datos y preferimos reportarlo antes que disimularlo.</w:t>
      </w:r>
    </w:p>
    <w:p>
      <w:r>
        <w:rPr>
          <w:rFonts w:ascii="Arial" w:hAnsi="Arial"/>
          <w:sz w:val="22"/>
        </w:rPr>
        <w:t>Se calcularon también las métricas de error, que dieron:</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703"/>
        <w:gridCol w:w="4703"/>
      </w:tblGrid>
      <w:tr>
        <w:tc>
          <w:tcPr>
            <w:tcW w:type="dxa" w:w="4703"/>
          </w:tcPr>
          <w:p>
            <w:pPr>
              <w:spacing w:after="40" w:line="240" w:lineRule="auto"/>
            </w:pPr>
            <w:r/>
            <w:r>
              <w:rPr>
                <w:rFonts w:ascii="Arial" w:hAnsi="Arial"/>
                <w:b/>
                <w:sz w:val="20"/>
              </w:rPr>
              <w:t>Métrica</w:t>
            </w:r>
          </w:p>
        </w:tc>
        <w:tc>
          <w:tcPr>
            <w:tcW w:type="dxa" w:w="4703"/>
          </w:tcPr>
          <w:p>
            <w:pPr>
              <w:spacing w:after="40" w:line="240" w:lineRule="auto"/>
            </w:pPr>
            <w:r/>
            <w:r>
              <w:rPr>
                <w:rFonts w:ascii="Arial" w:hAnsi="Arial"/>
                <w:b/>
                <w:sz w:val="20"/>
              </w:rPr>
              <w:t>Valor</w:t>
            </w:r>
          </w:p>
        </w:tc>
      </w:tr>
      <w:tr>
        <w:tc>
          <w:tcPr>
            <w:tcW w:type="dxa" w:w="4703"/>
          </w:tcPr>
          <w:p>
            <w:pPr>
              <w:spacing w:after="40" w:line="240" w:lineRule="auto"/>
            </w:pPr>
            <w:r/>
            <w:r>
              <w:rPr>
                <w:rFonts w:ascii="Arial" w:hAnsi="Arial"/>
                <w:sz w:val="20"/>
              </w:rPr>
              <w:t>MAE</w:t>
            </w:r>
          </w:p>
        </w:tc>
        <w:tc>
          <w:tcPr>
            <w:tcW w:type="dxa" w:w="4703"/>
          </w:tcPr>
          <w:p>
            <w:pPr>
              <w:spacing w:after="40" w:line="240" w:lineRule="auto"/>
            </w:pPr>
            <w:r/>
            <w:r>
              <w:rPr>
                <w:rFonts w:ascii="Arial" w:hAnsi="Arial"/>
                <w:sz w:val="20"/>
              </w:rPr>
              <w:t>9,1 vehículos</w:t>
            </w:r>
          </w:p>
        </w:tc>
      </w:tr>
      <w:tr>
        <w:tc>
          <w:tcPr>
            <w:tcW w:type="dxa" w:w="4703"/>
          </w:tcPr>
          <w:p>
            <w:pPr>
              <w:spacing w:after="40" w:line="240" w:lineRule="auto"/>
            </w:pPr>
            <w:r/>
            <w:r>
              <w:rPr>
                <w:rFonts w:ascii="Arial" w:hAnsi="Arial"/>
                <w:sz w:val="20"/>
              </w:rPr>
              <w:t>RMSE</w:t>
            </w:r>
          </w:p>
        </w:tc>
        <w:tc>
          <w:tcPr>
            <w:tcW w:type="dxa" w:w="4703"/>
          </w:tcPr>
          <w:p>
            <w:pPr>
              <w:spacing w:after="40" w:line="240" w:lineRule="auto"/>
            </w:pPr>
            <w:r/>
            <w:r>
              <w:rPr>
                <w:rFonts w:ascii="Arial" w:hAnsi="Arial"/>
                <w:sz w:val="20"/>
              </w:rPr>
              <w:t>11,1 vehículos</w:t>
            </w:r>
          </w:p>
        </w:tc>
      </w:tr>
      <w:tr>
        <w:tc>
          <w:tcPr>
            <w:tcW w:type="dxa" w:w="4703"/>
          </w:tcPr>
          <w:p>
            <w:pPr>
              <w:spacing w:after="40" w:line="240" w:lineRule="auto"/>
            </w:pPr>
            <w:r/>
            <w:r>
              <w:rPr>
                <w:rFonts w:ascii="Arial" w:hAnsi="Arial"/>
                <w:sz w:val="20"/>
              </w:rPr>
              <w:t>MAPE</w:t>
            </w:r>
          </w:p>
        </w:tc>
        <w:tc>
          <w:tcPr>
            <w:tcW w:type="dxa" w:w="4703"/>
          </w:tcPr>
          <w:p>
            <w:pPr>
              <w:spacing w:after="40" w:line="240" w:lineRule="auto"/>
            </w:pPr>
            <w:r/>
            <w:r>
              <w:rPr>
                <w:rFonts w:ascii="Arial" w:hAnsi="Arial"/>
                <w:sz w:val="20"/>
              </w:rPr>
              <w:t>27,63%</w:t>
            </w:r>
          </w:p>
        </w:tc>
      </w:tr>
    </w:tbl>
    <w:p/>
    <w:p>
      <w:r>
        <w:rPr>
          <w:rFonts w:ascii="Arial" w:hAnsi="Arial"/>
          <w:sz w:val="22"/>
        </w:rPr>
        <w:t>El valor del MAPE muy por encima del 20% nos indica que el pronóstico alcanzado con Winters no es el más indicado, lo cual es un punto importante a considerar. El total pronosticado fue de 906 vehículos para el año próximo.</w:t>
      </w:r>
    </w:p>
    <w:p>
      <w:pPr>
        <w:keepNext/>
        <w:spacing w:before="360" w:after="120"/>
      </w:pPr>
      <w:r>
        <w:rPr>
          <w:rFonts w:ascii="Arial" w:hAnsi="Arial"/>
          <w:b/>
          <w:sz w:val="32"/>
        </w:rPr>
        <w:t>2.2. Prophet</w:t>
      </w:r>
    </w:p>
    <w:p>
      <w:r>
        <w:rPr>
          <w:rFonts w:ascii="Arial" w:hAnsi="Arial"/>
          <w:sz w:val="22"/>
        </w:rPr>
        <w:t>Como los resultados obtenidos no nos dejan una confianza suficiente, el equipo decidió realizar la predicción en series temporales utilizando otros métodos. Para determinar qué modelos se suelen usar en este tipo de casos, se comenzó con la tarea de obtener información para solucionar este inconveniente (Predicciones de Ventas con Series Temporales, Jared Onan Vilorio Luque, pág. 27).</w:t>
      </w:r>
    </w:p>
    <w:p>
      <w:r>
        <w:rPr>
          <w:rFonts w:ascii="Arial" w:hAnsi="Arial"/>
          <w:sz w:val="22"/>
        </w:rPr>
        <w:t>Así fue como decidimos que el modelo que probaremos será Prophet. Se podría usar LSTM o SARIMA, pero encontramos información que indicaba su mayor complejidad y bajo desempeño frente a un conjunto de datos acotado (Limitaciones del Modelo LSTM en la Predicción de Demanda Eléctrica con Datos Simulados de Bajo Volumen, C. Reyes y C. Inca).</w:t>
      </w:r>
    </w:p>
    <w:p>
      <w:r>
        <w:rPr>
          <w:rFonts w:ascii="Arial" w:hAnsi="Arial"/>
          <w:sz w:val="22"/>
        </w:rPr>
        <w:t>Prophet es la librería para pronóstico univariado creada por Facebook (ahora Meta) para series temporales con tendencia y estacionalidad. El modelo pronostica en base a la siguiente ecuación (Forecasting at Scale, S. J. Taylor y B. Letham):</w:t>
      </w:r>
    </w:p>
    <w:p>
      <w:pPr>
        <w:ind w:left="567"/>
      </w:pPr>
      <w:r>
        <w:rPr>
          <w:rFonts w:ascii="Arial" w:hAnsi="Arial"/>
          <w:i/>
          <w:sz w:val="22"/>
        </w:rPr>
        <w:t>y(t) = g(t) + s(t) + h(t) + ε(t)</w:t>
      </w:r>
    </w:p>
    <w:p>
      <w:r>
        <w:rPr>
          <w:rFonts w:ascii="Arial" w:hAnsi="Arial"/>
          <w:sz w:val="22"/>
        </w:rPr>
        <w:t>donde g(t) es la tendencia, s(t) la estacionalidad, h(t) los feriados y ε(t) el ruido. Se configuró con estacionalidad anual aditiva y se desactivaron la semanal y la diaria, que no tienen ningún sentido en datos mensuales. Tampoco se cargaron feriados, porque el histórico no identifica el país de cada pedido con el detalle necesario.</w:t>
      </w:r>
    </w:p>
    <w:p>
      <w:r>
        <w:rPr>
          <w:rFonts w:ascii="Arial" w:hAnsi="Arial"/>
          <w:sz w:val="22"/>
        </w:rPr>
        <w:t>Pasando a lo que nos interesa, las métricas en este caso fueron:</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703"/>
        <w:gridCol w:w="4703"/>
      </w:tblGrid>
      <w:tr>
        <w:tc>
          <w:tcPr>
            <w:tcW w:type="dxa" w:w="4703"/>
          </w:tcPr>
          <w:p>
            <w:pPr>
              <w:spacing w:after="40" w:line="240" w:lineRule="auto"/>
            </w:pPr>
            <w:r/>
            <w:r>
              <w:rPr>
                <w:rFonts w:ascii="Arial" w:hAnsi="Arial"/>
                <w:b/>
                <w:sz w:val="20"/>
              </w:rPr>
              <w:t>Métrica</w:t>
            </w:r>
          </w:p>
        </w:tc>
        <w:tc>
          <w:tcPr>
            <w:tcW w:type="dxa" w:w="4703"/>
          </w:tcPr>
          <w:p>
            <w:pPr>
              <w:spacing w:after="40" w:line="240" w:lineRule="auto"/>
            </w:pPr>
            <w:r/>
            <w:r>
              <w:rPr>
                <w:rFonts w:ascii="Arial" w:hAnsi="Arial"/>
                <w:b/>
                <w:sz w:val="20"/>
              </w:rPr>
              <w:t>Valor</w:t>
            </w:r>
          </w:p>
        </w:tc>
      </w:tr>
      <w:tr>
        <w:tc>
          <w:tcPr>
            <w:tcW w:type="dxa" w:w="4703"/>
          </w:tcPr>
          <w:p>
            <w:pPr>
              <w:spacing w:after="40" w:line="240" w:lineRule="auto"/>
            </w:pPr>
            <w:r/>
            <w:r>
              <w:rPr>
                <w:rFonts w:ascii="Arial" w:hAnsi="Arial"/>
                <w:sz w:val="20"/>
              </w:rPr>
              <w:t>MAE</w:t>
            </w:r>
          </w:p>
        </w:tc>
        <w:tc>
          <w:tcPr>
            <w:tcW w:type="dxa" w:w="4703"/>
          </w:tcPr>
          <w:p>
            <w:pPr>
              <w:spacing w:after="40" w:line="240" w:lineRule="auto"/>
            </w:pPr>
            <w:r/>
            <w:r>
              <w:rPr>
                <w:rFonts w:ascii="Arial" w:hAnsi="Arial"/>
                <w:sz w:val="20"/>
              </w:rPr>
              <w:t>4,4 vehículos</w:t>
            </w:r>
          </w:p>
        </w:tc>
      </w:tr>
      <w:tr>
        <w:tc>
          <w:tcPr>
            <w:tcW w:type="dxa" w:w="4703"/>
          </w:tcPr>
          <w:p>
            <w:pPr>
              <w:spacing w:after="40" w:line="240" w:lineRule="auto"/>
            </w:pPr>
            <w:r/>
            <w:r>
              <w:rPr>
                <w:rFonts w:ascii="Arial" w:hAnsi="Arial"/>
                <w:sz w:val="20"/>
              </w:rPr>
              <w:t>RMSE</w:t>
            </w:r>
          </w:p>
        </w:tc>
        <w:tc>
          <w:tcPr>
            <w:tcW w:type="dxa" w:w="4703"/>
          </w:tcPr>
          <w:p>
            <w:pPr>
              <w:spacing w:after="40" w:line="240" w:lineRule="auto"/>
            </w:pPr>
            <w:r/>
            <w:r>
              <w:rPr>
                <w:rFonts w:ascii="Arial" w:hAnsi="Arial"/>
                <w:sz w:val="20"/>
              </w:rPr>
              <w:t>6,4 vehículos</w:t>
            </w:r>
          </w:p>
        </w:tc>
      </w:tr>
      <w:tr>
        <w:tc>
          <w:tcPr>
            <w:tcW w:type="dxa" w:w="4703"/>
          </w:tcPr>
          <w:p>
            <w:pPr>
              <w:spacing w:after="40" w:line="240" w:lineRule="auto"/>
            </w:pPr>
            <w:r/>
            <w:r>
              <w:rPr>
                <w:rFonts w:ascii="Arial" w:hAnsi="Arial"/>
                <w:sz w:val="20"/>
              </w:rPr>
              <w:t>MAPE</w:t>
            </w:r>
          </w:p>
        </w:tc>
        <w:tc>
          <w:tcPr>
            <w:tcW w:type="dxa" w:w="4703"/>
          </w:tcPr>
          <w:p>
            <w:pPr>
              <w:spacing w:after="40" w:line="240" w:lineRule="auto"/>
            </w:pPr>
            <w:r/>
            <w:r>
              <w:rPr>
                <w:rFonts w:ascii="Arial" w:hAnsi="Arial"/>
                <w:sz w:val="20"/>
              </w:rPr>
              <w:t>14,70%</w:t>
            </w:r>
          </w:p>
        </w:tc>
      </w:tr>
    </w:tbl>
    <w:p/>
    <w:p>
      <w:r>
        <w:rPr>
          <w:rFonts w:ascii="Arial" w:hAnsi="Arial"/>
          <w:sz w:val="22"/>
        </w:rPr>
        <w:t>Si bien el MAPE continúa por encima del 10%, hubo una reducción de casi 13 puntos de error en Prophet frente a Winters, lo cual es una mejora considerable.</w:t>
      </w:r>
    </w:p>
    <w:p>
      <w:r>
        <w:rPr>
          <w:rFonts w:ascii="Arial" w:hAnsi="Arial"/>
          <w:sz w:val="22"/>
        </w:rPr>
        <w:t xml:space="preserve">El pronóstico total fue de </w:t>
      </w:r>
      <w:r>
        <w:rPr>
          <w:rFonts w:ascii="Arial" w:hAnsi="Arial"/>
          <w:b/>
          <w:sz w:val="22"/>
        </w:rPr>
        <w:t>917 vehículos</w:t>
      </w:r>
      <w:r>
        <w:rPr>
          <w:rFonts w:ascii="Arial" w:hAnsi="Arial"/>
          <w:sz w:val="22"/>
        </w:rPr>
        <w:t xml:space="preserve"> para los próximos 12 meses. Es importante mencionar que Prophet trabaja sobre un intervalo de confianza, que en nuestro caso se configuró al 95%: eso significa que hay un 95% de probabilidad de que el valor real caiga dentro de ese rango.</w:t>
      </w:r>
    </w:p>
    <w:p>
      <w:r>
        <w:rPr>
          <w:rFonts w:ascii="Arial" w:hAnsi="Arial"/>
          <w:sz w:val="22"/>
        </w:rPr>
        <w:t>Un punto que conviene señalar es que el pronóstico (917) queda por encima del promedio anual del histórico (639). Prophet está extrapolando la tendencia creciente de los últimos meses de la serie. Es una decisión del modelo y no un error de cálculo, pero implica que estamos dimensionando para un escenario de crecimiento, y eso hay que tenerlo presente.</w:t>
      </w:r>
    </w:p>
    <w:p>
      <w:pPr>
        <w:keepNext/>
        <w:spacing w:before="360" w:after="120"/>
      </w:pPr>
      <w:r>
        <w:rPr>
          <w:rFonts w:ascii="Arial" w:hAnsi="Arial"/>
          <w:b/>
          <w:sz w:val="32"/>
        </w:rPr>
        <w:t>2.3. SARIMA</w:t>
      </w:r>
    </w:p>
    <w:p>
      <w:r>
        <w:rPr>
          <w:rFonts w:ascii="Arial" w:hAnsi="Arial"/>
          <w:sz w:val="22"/>
        </w:rPr>
        <w:t>Ahora, de manera rápida, pasaremos a demostrar que en este caso el análisis en modelo SARIMA es una mala idea. Existen evidencias de que no conviene usarlo con un número tan bajo de observaciones (Modelización de Series Temporales, modelos clásicos y SARIMA, C. M. Chinlli, pág. 1), y nuestras 29 observaciones mensuales son poco más de dos ciclos anuales completos.</w:t>
      </w:r>
    </w:p>
    <w:p>
      <w:r>
        <w:rPr>
          <w:rFonts w:ascii="Arial" w:hAnsi="Arial"/>
          <w:sz w:val="22"/>
        </w:rPr>
        <w:t>Se aplicó igual el procedimiento habitual. El test de Dickey-Fuller aumentado dio un p-valor de 0,0044, o sea que rechaza la raíz unitaria y diría que la serie es estacionaria. Sin embargo, al probar cuatro especificaciones y comparar por AIC, el criterio prefiere diferenciar una vez. La explicación es que con tan pocos datos y un pico estacional que triplica el nivel del resto del año, el test pierde potencia. Optamos por respetar el criterio de información y quedarnos con un SARIMA(1,1,1)(1,0,1,12).</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703"/>
        <w:gridCol w:w="4703"/>
      </w:tblGrid>
      <w:tr>
        <w:tc>
          <w:tcPr>
            <w:tcW w:type="dxa" w:w="4703"/>
          </w:tcPr>
          <w:p>
            <w:pPr>
              <w:spacing w:after="40" w:line="240" w:lineRule="auto"/>
            </w:pPr>
            <w:r/>
            <w:r>
              <w:rPr>
                <w:rFonts w:ascii="Arial" w:hAnsi="Arial"/>
                <w:b/>
                <w:sz w:val="20"/>
              </w:rPr>
              <w:t>Métrica</w:t>
            </w:r>
          </w:p>
        </w:tc>
        <w:tc>
          <w:tcPr>
            <w:tcW w:type="dxa" w:w="4703"/>
          </w:tcPr>
          <w:p>
            <w:pPr>
              <w:spacing w:after="40" w:line="240" w:lineRule="auto"/>
            </w:pPr>
            <w:r/>
            <w:r>
              <w:rPr>
                <w:rFonts w:ascii="Arial" w:hAnsi="Arial"/>
                <w:b/>
                <w:sz w:val="20"/>
              </w:rPr>
              <w:t>Valor</w:t>
            </w:r>
          </w:p>
        </w:tc>
      </w:tr>
      <w:tr>
        <w:tc>
          <w:tcPr>
            <w:tcW w:type="dxa" w:w="4703"/>
          </w:tcPr>
          <w:p>
            <w:pPr>
              <w:spacing w:after="40" w:line="240" w:lineRule="auto"/>
            </w:pPr>
            <w:r/>
            <w:r>
              <w:rPr>
                <w:rFonts w:ascii="Arial" w:hAnsi="Arial"/>
                <w:sz w:val="20"/>
              </w:rPr>
              <w:t>MAE</w:t>
            </w:r>
          </w:p>
        </w:tc>
        <w:tc>
          <w:tcPr>
            <w:tcW w:type="dxa" w:w="4703"/>
          </w:tcPr>
          <w:p>
            <w:pPr>
              <w:spacing w:after="40" w:line="240" w:lineRule="auto"/>
            </w:pPr>
            <w:r/>
            <w:r>
              <w:rPr>
                <w:rFonts w:ascii="Arial" w:hAnsi="Arial"/>
                <w:sz w:val="20"/>
              </w:rPr>
              <w:t>23,1 vehículos</w:t>
            </w:r>
          </w:p>
        </w:tc>
      </w:tr>
      <w:tr>
        <w:tc>
          <w:tcPr>
            <w:tcW w:type="dxa" w:w="4703"/>
          </w:tcPr>
          <w:p>
            <w:pPr>
              <w:spacing w:after="40" w:line="240" w:lineRule="auto"/>
            </w:pPr>
            <w:r/>
            <w:r>
              <w:rPr>
                <w:rFonts w:ascii="Arial" w:hAnsi="Arial"/>
                <w:sz w:val="20"/>
              </w:rPr>
              <w:t>RMSE</w:t>
            </w:r>
          </w:p>
        </w:tc>
        <w:tc>
          <w:tcPr>
            <w:tcW w:type="dxa" w:w="4703"/>
          </w:tcPr>
          <w:p>
            <w:pPr>
              <w:spacing w:after="40" w:line="240" w:lineRule="auto"/>
            </w:pPr>
            <w:r/>
            <w:r>
              <w:rPr>
                <w:rFonts w:ascii="Arial" w:hAnsi="Arial"/>
                <w:sz w:val="20"/>
              </w:rPr>
              <w:t>34,9 vehículos</w:t>
            </w:r>
          </w:p>
        </w:tc>
      </w:tr>
      <w:tr>
        <w:tc>
          <w:tcPr>
            <w:tcW w:type="dxa" w:w="4703"/>
          </w:tcPr>
          <w:p>
            <w:pPr>
              <w:spacing w:after="40" w:line="240" w:lineRule="auto"/>
            </w:pPr>
            <w:r/>
            <w:r>
              <w:rPr>
                <w:rFonts w:ascii="Arial" w:hAnsi="Arial"/>
                <w:sz w:val="20"/>
              </w:rPr>
              <w:t>MAPE</w:t>
            </w:r>
          </w:p>
        </w:tc>
        <w:tc>
          <w:tcPr>
            <w:tcW w:type="dxa" w:w="4703"/>
          </w:tcPr>
          <w:p>
            <w:pPr>
              <w:spacing w:after="40" w:line="240" w:lineRule="auto"/>
            </w:pPr>
            <w:r/>
            <w:r>
              <w:rPr>
                <w:rFonts w:ascii="Arial" w:hAnsi="Arial"/>
                <w:sz w:val="20"/>
              </w:rPr>
              <w:t>53,89%</w:t>
            </w:r>
          </w:p>
        </w:tc>
      </w:tr>
    </w:tbl>
    <w:p/>
    <w:p>
      <w:r>
        <w:rPr>
          <w:rFonts w:ascii="Arial" w:hAnsi="Arial"/>
          <w:sz w:val="22"/>
        </w:rPr>
        <w:t>Como no se arrojan resultados útiles, se muestran solo los parámetros de error para comprobar lo que decía la teoría.</w:t>
      </w:r>
    </w:p>
    <w:p>
      <w:pPr>
        <w:keepNext/>
        <w:spacing w:before="360" w:after="120"/>
      </w:pPr>
      <w:r>
        <w:rPr>
          <w:rFonts w:ascii="Arial" w:hAnsi="Arial"/>
          <w:b/>
          <w:sz w:val="32"/>
        </w:rPr>
        <w:t>2.4. Modelo vs. modelo</w:t>
      </w:r>
    </w:p>
    <w:p>
      <w:r>
        <w:rPr>
          <w:rFonts w:ascii="Arial" w:hAnsi="Arial"/>
          <w:sz w:val="22"/>
        </w:rPr>
        <w:t>Ahora sí, la comparación que veníamos anunciando:</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68"/>
        <w:gridCol w:w="1568"/>
        <w:gridCol w:w="1568"/>
        <w:gridCol w:w="1568"/>
        <w:gridCol w:w="1568"/>
        <w:gridCol w:w="1568"/>
      </w:tblGrid>
      <w:tr>
        <w:tc>
          <w:tcPr>
            <w:tcW w:type="dxa" w:w="1568"/>
          </w:tcPr>
          <w:p>
            <w:pPr>
              <w:spacing w:after="40" w:line="240" w:lineRule="auto"/>
            </w:pPr>
            <w:r/>
            <w:r>
              <w:rPr>
                <w:rFonts w:ascii="Arial" w:hAnsi="Arial"/>
                <w:b/>
                <w:sz w:val="20"/>
              </w:rPr>
              <w:t>Modelo</w:t>
            </w:r>
          </w:p>
        </w:tc>
        <w:tc>
          <w:tcPr>
            <w:tcW w:type="dxa" w:w="1568"/>
          </w:tcPr>
          <w:p>
            <w:pPr>
              <w:spacing w:after="40" w:line="240" w:lineRule="auto"/>
            </w:pPr>
            <w:r/>
            <w:r>
              <w:rPr>
                <w:rFonts w:ascii="Arial" w:hAnsi="Arial"/>
                <w:b/>
                <w:sz w:val="20"/>
              </w:rPr>
              <w:t>MAE</w:t>
            </w:r>
          </w:p>
        </w:tc>
        <w:tc>
          <w:tcPr>
            <w:tcW w:type="dxa" w:w="1568"/>
          </w:tcPr>
          <w:p>
            <w:pPr>
              <w:spacing w:after="40" w:line="240" w:lineRule="auto"/>
            </w:pPr>
            <w:r/>
            <w:r>
              <w:rPr>
                <w:rFonts w:ascii="Arial" w:hAnsi="Arial"/>
                <w:b/>
                <w:sz w:val="20"/>
              </w:rPr>
              <w:t>RMSE</w:t>
            </w:r>
          </w:p>
        </w:tc>
        <w:tc>
          <w:tcPr>
            <w:tcW w:type="dxa" w:w="1568"/>
          </w:tcPr>
          <w:p>
            <w:pPr>
              <w:spacing w:after="40" w:line="240" w:lineRule="auto"/>
            </w:pPr>
            <w:r/>
            <w:r>
              <w:rPr>
                <w:rFonts w:ascii="Arial" w:hAnsi="Arial"/>
                <w:b/>
                <w:sz w:val="20"/>
              </w:rPr>
              <w:t>MAPE</w:t>
            </w:r>
          </w:p>
        </w:tc>
        <w:tc>
          <w:tcPr>
            <w:tcW w:type="dxa" w:w="1568"/>
          </w:tcPr>
          <w:p>
            <w:pPr>
              <w:spacing w:after="40" w:line="240" w:lineRule="auto"/>
            </w:pPr>
            <w:r/>
            <w:r>
              <w:rPr>
                <w:rFonts w:ascii="Arial" w:hAnsi="Arial"/>
                <w:b/>
                <w:sz w:val="20"/>
              </w:rPr>
              <w:t>Desvío de residuos</w:t>
            </w:r>
          </w:p>
        </w:tc>
        <w:tc>
          <w:tcPr>
            <w:tcW w:type="dxa" w:w="1568"/>
          </w:tcPr>
          <w:p>
            <w:pPr>
              <w:spacing w:after="40" w:line="240" w:lineRule="auto"/>
            </w:pPr>
            <w:r/>
            <w:r>
              <w:rPr>
                <w:rFonts w:ascii="Arial" w:hAnsi="Arial"/>
                <w:b/>
                <w:sz w:val="20"/>
              </w:rPr>
              <w:t>Total 12 meses</w:t>
            </w:r>
          </w:p>
        </w:tc>
      </w:tr>
      <w:tr>
        <w:tc>
          <w:tcPr>
            <w:tcW w:type="dxa" w:w="1568"/>
          </w:tcPr>
          <w:p>
            <w:pPr>
              <w:spacing w:after="40" w:line="240" w:lineRule="auto"/>
            </w:pPr>
            <w:r/>
            <w:r>
              <w:rPr>
                <w:rFonts w:ascii="Arial" w:hAnsi="Arial"/>
                <w:b/>
                <w:sz w:val="20"/>
              </w:rPr>
              <w:t>Prophet</w:t>
            </w:r>
          </w:p>
        </w:tc>
        <w:tc>
          <w:tcPr>
            <w:tcW w:type="dxa" w:w="1568"/>
          </w:tcPr>
          <w:p>
            <w:pPr>
              <w:spacing w:after="40" w:line="240" w:lineRule="auto"/>
            </w:pPr>
            <w:r/>
            <w:r>
              <w:rPr>
                <w:rFonts w:ascii="Arial" w:hAnsi="Arial"/>
                <w:sz w:val="20"/>
              </w:rPr>
              <w:t>4,4</w:t>
            </w:r>
          </w:p>
        </w:tc>
        <w:tc>
          <w:tcPr>
            <w:tcW w:type="dxa" w:w="1568"/>
          </w:tcPr>
          <w:p>
            <w:pPr>
              <w:spacing w:after="40" w:line="240" w:lineRule="auto"/>
            </w:pPr>
            <w:r/>
            <w:r>
              <w:rPr>
                <w:rFonts w:ascii="Arial" w:hAnsi="Arial"/>
                <w:sz w:val="20"/>
              </w:rPr>
              <w:t>6,4</w:t>
            </w:r>
          </w:p>
        </w:tc>
        <w:tc>
          <w:tcPr>
            <w:tcW w:type="dxa" w:w="1568"/>
          </w:tcPr>
          <w:p>
            <w:pPr>
              <w:spacing w:after="40" w:line="240" w:lineRule="auto"/>
            </w:pPr>
            <w:r/>
            <w:r>
              <w:rPr>
                <w:rFonts w:ascii="Arial" w:hAnsi="Arial"/>
                <w:b/>
                <w:sz w:val="20"/>
              </w:rPr>
              <w:t>14,70%</w:t>
            </w:r>
          </w:p>
        </w:tc>
        <w:tc>
          <w:tcPr>
            <w:tcW w:type="dxa" w:w="1568"/>
          </w:tcPr>
          <w:p>
            <w:pPr>
              <w:spacing w:after="40" w:line="240" w:lineRule="auto"/>
            </w:pPr>
            <w:r/>
            <w:r>
              <w:rPr>
                <w:rFonts w:ascii="Arial" w:hAnsi="Arial"/>
                <w:sz w:val="20"/>
              </w:rPr>
              <w:t>6,5</w:t>
            </w:r>
          </w:p>
        </w:tc>
        <w:tc>
          <w:tcPr>
            <w:tcW w:type="dxa" w:w="1568"/>
          </w:tcPr>
          <w:p>
            <w:pPr>
              <w:spacing w:after="40" w:line="240" w:lineRule="auto"/>
            </w:pPr>
            <w:r/>
            <w:r>
              <w:rPr>
                <w:rFonts w:ascii="Arial" w:hAnsi="Arial"/>
                <w:sz w:val="20"/>
              </w:rPr>
              <w:t>917</w:t>
            </w:r>
          </w:p>
        </w:tc>
      </w:tr>
      <w:tr>
        <w:tc>
          <w:tcPr>
            <w:tcW w:type="dxa" w:w="1568"/>
          </w:tcPr>
          <w:p>
            <w:pPr>
              <w:spacing w:after="40" w:line="240" w:lineRule="auto"/>
            </w:pPr>
            <w:r/>
            <w:r>
              <w:rPr>
                <w:rFonts w:ascii="Arial" w:hAnsi="Arial"/>
                <w:sz w:val="20"/>
              </w:rPr>
              <w:t>Holt-Winters aditivo</w:t>
            </w:r>
          </w:p>
        </w:tc>
        <w:tc>
          <w:tcPr>
            <w:tcW w:type="dxa" w:w="1568"/>
          </w:tcPr>
          <w:p>
            <w:pPr>
              <w:spacing w:after="40" w:line="240" w:lineRule="auto"/>
            </w:pPr>
            <w:r/>
            <w:r>
              <w:rPr>
                <w:rFonts w:ascii="Arial" w:hAnsi="Arial"/>
                <w:sz w:val="20"/>
              </w:rPr>
              <w:t>9,1</w:t>
            </w:r>
          </w:p>
        </w:tc>
        <w:tc>
          <w:tcPr>
            <w:tcW w:type="dxa" w:w="1568"/>
          </w:tcPr>
          <w:p>
            <w:pPr>
              <w:spacing w:after="40" w:line="240" w:lineRule="auto"/>
            </w:pPr>
            <w:r/>
            <w:r>
              <w:rPr>
                <w:rFonts w:ascii="Arial" w:hAnsi="Arial"/>
                <w:sz w:val="20"/>
              </w:rPr>
              <w:t>11,1</w:t>
            </w:r>
          </w:p>
        </w:tc>
        <w:tc>
          <w:tcPr>
            <w:tcW w:type="dxa" w:w="1568"/>
          </w:tcPr>
          <w:p>
            <w:pPr>
              <w:spacing w:after="40" w:line="240" w:lineRule="auto"/>
            </w:pPr>
            <w:r/>
            <w:r>
              <w:rPr>
                <w:rFonts w:ascii="Arial" w:hAnsi="Arial"/>
                <w:sz w:val="20"/>
              </w:rPr>
              <w:t>27,63%</w:t>
            </w:r>
          </w:p>
        </w:tc>
        <w:tc>
          <w:tcPr>
            <w:tcW w:type="dxa" w:w="1568"/>
          </w:tcPr>
          <w:p>
            <w:pPr>
              <w:spacing w:after="40" w:line="240" w:lineRule="auto"/>
            </w:pPr>
            <w:r/>
            <w:r>
              <w:rPr>
                <w:rFonts w:ascii="Arial" w:hAnsi="Arial"/>
                <w:sz w:val="20"/>
              </w:rPr>
              <w:t>11,3</w:t>
            </w:r>
          </w:p>
        </w:tc>
        <w:tc>
          <w:tcPr>
            <w:tcW w:type="dxa" w:w="1568"/>
          </w:tcPr>
          <w:p>
            <w:pPr>
              <w:spacing w:after="40" w:line="240" w:lineRule="auto"/>
            </w:pPr>
            <w:r/>
            <w:r>
              <w:rPr>
                <w:rFonts w:ascii="Arial" w:hAnsi="Arial"/>
                <w:sz w:val="20"/>
              </w:rPr>
              <w:t>906</w:t>
            </w:r>
          </w:p>
        </w:tc>
      </w:tr>
      <w:tr>
        <w:tc>
          <w:tcPr>
            <w:tcW w:type="dxa" w:w="1568"/>
          </w:tcPr>
          <w:p>
            <w:pPr>
              <w:spacing w:after="40" w:line="240" w:lineRule="auto"/>
            </w:pPr>
            <w:r/>
            <w:r>
              <w:rPr>
                <w:rFonts w:ascii="Arial" w:hAnsi="Arial"/>
                <w:sz w:val="20"/>
              </w:rPr>
              <w:t>SARIMA(1,1,1)(1,0,1,12)</w:t>
            </w:r>
          </w:p>
        </w:tc>
        <w:tc>
          <w:tcPr>
            <w:tcW w:type="dxa" w:w="1568"/>
          </w:tcPr>
          <w:p>
            <w:pPr>
              <w:spacing w:after="40" w:line="240" w:lineRule="auto"/>
            </w:pPr>
            <w:r/>
            <w:r>
              <w:rPr>
                <w:rFonts w:ascii="Arial" w:hAnsi="Arial"/>
                <w:sz w:val="20"/>
              </w:rPr>
              <w:t>23,1</w:t>
            </w:r>
          </w:p>
        </w:tc>
        <w:tc>
          <w:tcPr>
            <w:tcW w:type="dxa" w:w="1568"/>
          </w:tcPr>
          <w:p>
            <w:pPr>
              <w:spacing w:after="40" w:line="240" w:lineRule="auto"/>
            </w:pPr>
            <w:r/>
            <w:r>
              <w:rPr>
                <w:rFonts w:ascii="Arial" w:hAnsi="Arial"/>
                <w:sz w:val="20"/>
              </w:rPr>
              <w:t>34,9</w:t>
            </w:r>
          </w:p>
        </w:tc>
        <w:tc>
          <w:tcPr>
            <w:tcW w:type="dxa" w:w="1568"/>
          </w:tcPr>
          <w:p>
            <w:pPr>
              <w:spacing w:after="40" w:line="240" w:lineRule="auto"/>
            </w:pPr>
            <w:r/>
            <w:r>
              <w:rPr>
                <w:rFonts w:ascii="Arial" w:hAnsi="Arial"/>
                <w:sz w:val="20"/>
              </w:rPr>
              <w:t>53,89%</w:t>
            </w:r>
          </w:p>
        </w:tc>
        <w:tc>
          <w:tcPr>
            <w:tcW w:type="dxa" w:w="1568"/>
          </w:tcPr>
          <w:p>
            <w:pPr>
              <w:spacing w:after="40" w:line="240" w:lineRule="auto"/>
            </w:pPr>
            <w:r/>
            <w:r>
              <w:rPr>
                <w:rFonts w:ascii="Arial" w:hAnsi="Arial"/>
                <w:sz w:val="20"/>
              </w:rPr>
              <w:t>35,5</w:t>
            </w:r>
          </w:p>
        </w:tc>
        <w:tc>
          <w:tcPr>
            <w:tcW w:type="dxa" w:w="1568"/>
          </w:tcPr>
          <w:p>
            <w:pPr>
              <w:spacing w:after="40" w:line="240" w:lineRule="auto"/>
            </w:pPr>
            <w:r/>
            <w:r>
              <w:rPr>
                <w:rFonts w:ascii="Arial" w:hAnsi="Arial"/>
                <w:sz w:val="20"/>
              </w:rPr>
              <w:t>819</w:t>
            </w:r>
          </w:p>
        </w:tc>
      </w:tr>
    </w:tbl>
    <w:p/>
    <w:p>
      <w:r>
        <w:rPr>
          <w:rFonts w:ascii="Arial" w:hAnsi="Arial"/>
          <w:b/>
          <w:sz w:val="22"/>
        </w:rPr>
        <w:t>El modelo elegido es Prophet</w:t>
      </w:r>
      <w:r>
        <w:rPr>
          <w:rFonts w:ascii="Arial" w:hAnsi="Arial"/>
          <w:sz w:val="22"/>
        </w:rPr>
        <w:t>, por un margen bastante amplio.</w:t>
      </w:r>
    </w:p>
    <w:p>
      <w:r>
        <w:rPr>
          <w:rFonts w:ascii="Arial" w:hAnsi="Arial"/>
          <w:sz w:val="22"/>
        </w:rPr>
        <w:t>De esta etapa nos llevamos dos números a la etapa de inventario:</w:t>
      </w:r>
    </w:p>
    <w:p>
      <w:pPr>
        <w:pStyle w:val="ListBullet"/>
        <w:spacing w:line="276" w:lineRule="auto"/>
      </w:pPr>
      <w:r>
        <w:rPr>
          <w:rFonts w:ascii="Arial" w:hAnsi="Arial"/>
          <w:sz w:val="22"/>
        </w:rPr>
        <w:t xml:space="preserve">La </w:t>
      </w:r>
      <w:r>
        <w:rPr>
          <w:rFonts w:ascii="Arial" w:hAnsi="Arial"/>
          <w:b/>
          <w:sz w:val="22"/>
        </w:rPr>
        <w:t>demanda anual esperada: 917 vehículos</w:t>
      </w:r>
      <w:r>
        <w:rPr>
          <w:rFonts w:ascii="Arial" w:hAnsi="Arial"/>
          <w:sz w:val="22"/>
        </w:rPr>
        <w:t>.</w:t>
      </w:r>
    </w:p>
    <w:p>
      <w:pPr>
        <w:pStyle w:val="ListBullet"/>
        <w:spacing w:line="276" w:lineRule="auto"/>
      </w:pPr>
      <w:r>
        <w:rPr>
          <w:rFonts w:ascii="Arial" w:hAnsi="Arial"/>
          <w:sz w:val="22"/>
        </w:rPr>
        <w:t xml:space="preserve">La </w:t>
      </w:r>
      <w:r>
        <w:rPr>
          <w:rFonts w:ascii="Arial" w:hAnsi="Arial"/>
          <w:b/>
          <w:sz w:val="22"/>
        </w:rPr>
        <w:t>desviación estándar del error de pronóstico: 6,5 vehículos por mes</w:t>
      </w:r>
      <w:r>
        <w:rPr>
          <w:rFonts w:ascii="Arial" w:hAnsi="Arial"/>
          <w:sz w:val="22"/>
        </w:rPr>
        <w:t>, que</w:t>
      </w:r>
    </w:p>
    <w:p>
      <w:r>
        <w:rPr>
          <w:rFonts w:ascii="Arial" w:hAnsi="Arial"/>
          <w:sz w:val="22"/>
        </w:rPr>
        <w:t>equivale a 3,1 por semana.</w:t>
      </w:r>
    </w:p>
    <w:p>
      <w:r>
        <w:rPr>
          <w:rFonts w:ascii="Arial" w:hAnsi="Arial"/>
          <w:sz w:val="22"/>
        </w:rPr>
        <w:t xml:space="preserve">Vale la pena detenerse en el segundo, porque la elección tiene consecuencias. No es el desvío de la serie histórica ni el de los valores pronosticados: es el de los </w:t>
      </w:r>
      <w:r>
        <w:rPr>
          <w:rFonts w:ascii="Arial" w:hAnsi="Arial"/>
          <w:b/>
          <w:sz w:val="22"/>
        </w:rPr>
        <w:t>residuos del modelo</w:t>
      </w:r>
      <w:r>
        <w:rPr>
          <w:rFonts w:ascii="Arial" w:hAnsi="Arial"/>
          <w:sz w:val="22"/>
        </w:rPr>
        <w:t>, o sea cuánto se equivoca el pronóstico mes a mes.</w:t>
      </w:r>
    </w:p>
    <w:p>
      <w:r>
        <w:rPr>
          <w:rFonts w:ascii="Arial" w:hAnsi="Arial"/>
          <w:sz w:val="22"/>
        </w:rPr>
        <w:t>Es el que corresponde porque el stock de seguridad existe para cubrir aquello que el pronóstico no logra anticipar. La estacionalidad de noviembre ya está metida adentro del pronóstico, y por lo tanto ya está contemplada en la demanda esperada durante el plazo de entrega. Si además la cubriéramos con stock de seguridad la estaríamos pagando dos veces.</w:t>
      </w:r>
    </w:p>
    <w:p>
      <w:pPr>
        <w:keepNext/>
        <w:spacing w:before="400" w:after="120"/>
      </w:pPr>
      <w:r>
        <w:rPr>
          <w:rFonts w:ascii="Arial" w:hAnsi="Arial"/>
          <w:b w:val="0"/>
          <w:sz w:val="40"/>
        </w:rPr>
        <w:t>3. Modelos de Inventario</w:t>
      </w:r>
    </w:p>
    <w:p>
      <w:pPr>
        <w:keepNext/>
        <w:spacing w:before="360" w:after="120"/>
      </w:pPr>
      <w:r>
        <w:rPr>
          <w:rFonts w:ascii="Arial" w:hAnsi="Arial"/>
          <w:b/>
          <w:sz w:val="32"/>
        </w:rPr>
        <w:t>3.1. Por qué un modelo probabilístico</w:t>
      </w:r>
    </w:p>
    <w:p>
      <w:r>
        <w:rPr>
          <w:rFonts w:ascii="Arial" w:hAnsi="Arial"/>
          <w:sz w:val="22"/>
        </w:rPr>
        <w:t xml:space="preserve">El documento de requerimientos plantea un enfoque EOQ (Economic Order Quantity, o Cantidad Económica de Pedido), pero esto plantea varios supuestos que pueden entrar en conflicto con el caso real que tenemos. El más importante es el supuesto de </w:t>
      </w:r>
      <w:r>
        <w:rPr>
          <w:rFonts w:ascii="Arial" w:hAnsi="Arial"/>
          <w:b/>
          <w:sz w:val="22"/>
        </w:rPr>
        <w:t>demanda constante</w:t>
      </w:r>
      <w:r>
        <w:rPr>
          <w:rFonts w:ascii="Arial" w:hAnsi="Arial"/>
          <w:sz w:val="22"/>
        </w:rPr>
        <w:t>.</w:t>
      </w:r>
    </w:p>
    <w:p>
      <w:r>
        <w:rPr>
          <w:rFonts w:ascii="Arial" w:hAnsi="Arial"/>
          <w:sz w:val="22"/>
        </w:rPr>
        <w:t>Ya vimos en la sección de variabilidad que la demanda de nuestros insumos tiene coeficientes de variación de entre el 71% y el 77% mensual. No hay forma de sostener que eso es constante. Según el criterio que expone Winston en el capítulo 15, cuando la variabilidad de la demanda supera cierto umbral el EOQ determinístico deja de ser la herramienta adecuada.</w:t>
      </w:r>
    </w:p>
    <w:p>
      <w:r>
        <w:rPr>
          <w:rFonts w:ascii="Arial" w:hAnsi="Arial"/>
          <w:sz w:val="22"/>
        </w:rPr>
        <w:t xml:space="preserve">La salida no es forzar el EOQ clásico, sino pasar al </w:t>
      </w:r>
      <w:r>
        <w:rPr>
          <w:rFonts w:ascii="Arial" w:hAnsi="Arial"/>
          <w:b/>
          <w:sz w:val="22"/>
        </w:rPr>
        <w:t>capítulo 16 de Winston, "Modelos probabilísticos de inventarios"</w:t>
      </w:r>
      <w:r>
        <w:rPr>
          <w:rFonts w:ascii="Arial" w:hAnsi="Arial"/>
          <w:sz w:val="22"/>
        </w:rPr>
        <w:t>, que es justamente el que trata el caso de demanda incierta. Ahí está el sistema de revisión continua (r, q), que es el que vamos a usar de acá en adelante.</w:t>
      </w:r>
    </w:p>
    <w:p>
      <w:r>
        <w:rPr>
          <w:rFonts w:ascii="Arial" w:hAnsi="Arial"/>
          <w:sz w:val="22"/>
        </w:rPr>
        <w:t xml:space="preserve">El sistema funciona así: se pide siempre la misma cantidad </w:t>
      </w:r>
      <w:r>
        <w:rPr>
          <w:rFonts w:ascii="Arial" w:hAnsi="Arial"/>
          <w:i/>
          <w:sz w:val="22"/>
        </w:rPr>
        <w:t>q</w:t>
      </w:r>
      <w:r>
        <w:rPr>
          <w:rFonts w:ascii="Arial" w:hAnsi="Arial"/>
          <w:sz w:val="22"/>
        </w:rPr>
        <w:t xml:space="preserve">, y el pedido se dispara cuando el nivel de existencias baja hasta el punto de reabastecimiento </w:t>
      </w:r>
      <w:r>
        <w:rPr>
          <w:rFonts w:ascii="Arial" w:hAnsi="Arial"/>
          <w:i/>
          <w:sz w:val="22"/>
        </w:rPr>
        <w:t>r</w:t>
      </w:r>
      <w:r>
        <w:rPr>
          <w:rFonts w:ascii="Arial" w:hAnsi="Arial"/>
          <w:sz w:val="22"/>
        </w:rPr>
        <w:t xml:space="preserve">. El pedido tarda </w:t>
      </w:r>
      <w:r>
        <w:rPr>
          <w:rFonts w:ascii="Arial" w:hAnsi="Arial"/>
          <w:i/>
          <w:sz w:val="22"/>
        </w:rPr>
        <w:t>L</w:t>
      </w:r>
      <w:r>
        <w:rPr>
          <w:rFonts w:ascii="Arial" w:hAnsi="Arial"/>
          <w:sz w:val="22"/>
        </w:rPr>
        <w:t xml:space="preserve"> semanas en llegar, y lo que falte durante esa espera queda como pedido pendiente y le cuesta a la empresa la compensación del 5% al cliente.</w:t>
      </w:r>
    </w:p>
    <w:p>
      <w:r>
        <w:rPr>
          <w:rFonts w:ascii="Arial" w:hAnsi="Arial"/>
          <w:sz w:val="22"/>
        </w:rPr>
        <w:t>Usaremos la notación del libro para que se pueda seguir todo contra el texto:</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703"/>
        <w:gridCol w:w="4703"/>
      </w:tblGrid>
      <w:tr>
        <w:tc>
          <w:tcPr>
            <w:tcW w:type="dxa" w:w="4703"/>
          </w:tcPr>
          <w:p>
            <w:pPr>
              <w:spacing w:after="40" w:line="240" w:lineRule="auto"/>
            </w:pPr>
            <w:r/>
            <w:r>
              <w:rPr>
                <w:rFonts w:ascii="Arial" w:hAnsi="Arial"/>
                <w:b/>
                <w:sz w:val="20"/>
              </w:rPr>
              <w:t>Símbolo</w:t>
            </w:r>
          </w:p>
        </w:tc>
        <w:tc>
          <w:tcPr>
            <w:tcW w:type="dxa" w:w="4703"/>
          </w:tcPr>
          <w:p>
            <w:pPr>
              <w:spacing w:after="40" w:line="240" w:lineRule="auto"/>
            </w:pPr>
            <w:r/>
            <w:r>
              <w:rPr>
                <w:rFonts w:ascii="Arial" w:hAnsi="Arial"/>
                <w:b/>
                <w:sz w:val="20"/>
              </w:rPr>
              <w:t>Significado</w:t>
            </w:r>
          </w:p>
        </w:tc>
      </w:tr>
      <w:tr>
        <w:tc>
          <w:tcPr>
            <w:tcW w:type="dxa" w:w="4703"/>
          </w:tcPr>
          <w:p>
            <w:pPr>
              <w:spacing w:after="40" w:line="240" w:lineRule="auto"/>
            </w:pPr>
            <w:r/>
            <w:r>
              <w:rPr>
                <w:rFonts w:ascii="Arial" w:hAnsi="Arial"/>
                <w:sz w:val="20"/>
              </w:rPr>
              <w:t>E(D)</w:t>
            </w:r>
          </w:p>
        </w:tc>
        <w:tc>
          <w:tcPr>
            <w:tcW w:type="dxa" w:w="4703"/>
          </w:tcPr>
          <w:p>
            <w:pPr>
              <w:spacing w:after="40" w:line="240" w:lineRule="auto"/>
            </w:pPr>
            <w:r/>
            <w:r>
              <w:rPr>
                <w:rFonts w:ascii="Arial" w:hAnsi="Arial"/>
                <w:sz w:val="20"/>
              </w:rPr>
              <w:t>demanda anual esperada</w:t>
            </w:r>
          </w:p>
        </w:tc>
      </w:tr>
      <w:tr>
        <w:tc>
          <w:tcPr>
            <w:tcW w:type="dxa" w:w="4703"/>
          </w:tcPr>
          <w:p>
            <w:pPr>
              <w:spacing w:after="40" w:line="240" w:lineRule="auto"/>
            </w:pPr>
            <w:r/>
            <w:r>
              <w:rPr>
                <w:rFonts w:ascii="Arial" w:hAnsi="Arial"/>
                <w:sz w:val="20"/>
              </w:rPr>
              <w:t>K</w:t>
            </w:r>
          </w:p>
        </w:tc>
        <w:tc>
          <w:tcPr>
            <w:tcW w:type="dxa" w:w="4703"/>
          </w:tcPr>
          <w:p>
            <w:pPr>
              <w:spacing w:after="40" w:line="240" w:lineRule="auto"/>
            </w:pPr>
            <w:r/>
            <w:r>
              <w:rPr>
                <w:rFonts w:ascii="Arial" w:hAnsi="Arial"/>
                <w:sz w:val="20"/>
              </w:rPr>
              <w:t>costo de hacer un pedido</w:t>
            </w:r>
          </w:p>
        </w:tc>
      </w:tr>
      <w:tr>
        <w:tc>
          <w:tcPr>
            <w:tcW w:type="dxa" w:w="4703"/>
          </w:tcPr>
          <w:p>
            <w:pPr>
              <w:spacing w:after="40" w:line="240" w:lineRule="auto"/>
            </w:pPr>
            <w:r/>
            <w:r>
              <w:rPr>
                <w:rFonts w:ascii="Arial" w:hAnsi="Arial"/>
                <w:sz w:val="20"/>
              </w:rPr>
              <w:t>h</w:t>
            </w:r>
          </w:p>
        </w:tc>
        <w:tc>
          <w:tcPr>
            <w:tcW w:type="dxa" w:w="4703"/>
          </w:tcPr>
          <w:p>
            <w:pPr>
              <w:spacing w:after="40" w:line="240" w:lineRule="auto"/>
            </w:pPr>
            <w:r/>
            <w:r>
              <w:rPr>
                <w:rFonts w:ascii="Arial" w:hAnsi="Arial"/>
                <w:sz w:val="20"/>
              </w:rPr>
              <w:t>costo de conservar una unidad un año</w:t>
            </w:r>
          </w:p>
        </w:tc>
      </w:tr>
      <w:tr>
        <w:tc>
          <w:tcPr>
            <w:tcW w:type="dxa" w:w="4703"/>
          </w:tcPr>
          <w:p>
            <w:pPr>
              <w:spacing w:after="40" w:line="240" w:lineRule="auto"/>
            </w:pPr>
            <w:r/>
            <w:r>
              <w:rPr>
                <w:rFonts w:ascii="Arial" w:hAnsi="Arial"/>
                <w:sz w:val="20"/>
              </w:rPr>
              <w:t>c_B</w:t>
            </w:r>
          </w:p>
        </w:tc>
        <w:tc>
          <w:tcPr>
            <w:tcW w:type="dxa" w:w="4703"/>
          </w:tcPr>
          <w:p>
            <w:pPr>
              <w:spacing w:after="40" w:line="240" w:lineRule="auto"/>
            </w:pPr>
            <w:r/>
            <w:r>
              <w:rPr>
                <w:rFonts w:ascii="Arial" w:hAnsi="Arial"/>
                <w:sz w:val="20"/>
              </w:rPr>
              <w:t>costo por unidad de déficit</w:t>
            </w:r>
          </w:p>
        </w:tc>
      </w:tr>
      <w:tr>
        <w:tc>
          <w:tcPr>
            <w:tcW w:type="dxa" w:w="4703"/>
          </w:tcPr>
          <w:p>
            <w:pPr>
              <w:spacing w:after="40" w:line="240" w:lineRule="auto"/>
            </w:pPr>
            <w:r/>
            <w:r>
              <w:rPr>
                <w:rFonts w:ascii="Arial" w:hAnsi="Arial"/>
                <w:sz w:val="20"/>
              </w:rPr>
              <w:t>L</w:t>
            </w:r>
          </w:p>
        </w:tc>
        <w:tc>
          <w:tcPr>
            <w:tcW w:type="dxa" w:w="4703"/>
          </w:tcPr>
          <w:p>
            <w:pPr>
              <w:spacing w:after="40" w:line="240" w:lineRule="auto"/>
            </w:pPr>
            <w:r/>
            <w:r>
              <w:rPr>
                <w:rFonts w:ascii="Arial" w:hAnsi="Arial"/>
                <w:sz w:val="20"/>
              </w:rPr>
              <w:t>plazo de entrega</w:t>
            </w:r>
          </w:p>
        </w:tc>
      </w:tr>
      <w:tr>
        <w:tc>
          <w:tcPr>
            <w:tcW w:type="dxa" w:w="4703"/>
          </w:tcPr>
          <w:p>
            <w:pPr>
              <w:spacing w:after="40" w:line="240" w:lineRule="auto"/>
            </w:pPr>
            <w:r/>
            <w:r>
              <w:rPr>
                <w:rFonts w:ascii="Arial" w:hAnsi="Arial"/>
                <w:sz w:val="20"/>
              </w:rPr>
              <w:t>X</w:t>
            </w:r>
          </w:p>
        </w:tc>
        <w:tc>
          <w:tcPr>
            <w:tcW w:type="dxa" w:w="4703"/>
          </w:tcPr>
          <w:p>
            <w:pPr>
              <w:spacing w:after="40" w:line="240" w:lineRule="auto"/>
            </w:pPr>
            <w:r/>
            <w:r>
              <w:rPr>
                <w:rFonts w:ascii="Arial" w:hAnsi="Arial"/>
                <w:sz w:val="20"/>
              </w:rPr>
              <w:t>demanda durante el plazo de entrega</w:t>
            </w:r>
          </w:p>
        </w:tc>
      </w:tr>
      <w:tr>
        <w:tc>
          <w:tcPr>
            <w:tcW w:type="dxa" w:w="4703"/>
          </w:tcPr>
          <w:p>
            <w:pPr>
              <w:spacing w:after="40" w:line="240" w:lineRule="auto"/>
            </w:pPr>
            <w:r/>
            <w:r>
              <w:rPr>
                <w:rFonts w:ascii="Arial" w:hAnsi="Arial"/>
                <w:sz w:val="20"/>
              </w:rPr>
              <w:t>E(X), σ_X</w:t>
            </w:r>
          </w:p>
        </w:tc>
        <w:tc>
          <w:tcPr>
            <w:tcW w:type="dxa" w:w="4703"/>
          </w:tcPr>
          <w:p>
            <w:pPr>
              <w:spacing w:after="40" w:line="240" w:lineRule="auto"/>
            </w:pPr>
            <w:r/>
            <w:r>
              <w:rPr>
                <w:rFonts w:ascii="Arial" w:hAnsi="Arial"/>
                <w:sz w:val="20"/>
              </w:rPr>
              <w:t>media y desvío de X</w:t>
            </w:r>
          </w:p>
        </w:tc>
      </w:tr>
      <w:tr>
        <w:tc>
          <w:tcPr>
            <w:tcW w:type="dxa" w:w="4703"/>
          </w:tcPr>
          <w:p>
            <w:pPr>
              <w:spacing w:after="40" w:line="240" w:lineRule="auto"/>
            </w:pPr>
            <w:r/>
            <w:r>
              <w:rPr>
                <w:rFonts w:ascii="Arial" w:hAnsi="Arial"/>
                <w:sz w:val="20"/>
              </w:rPr>
              <w:t>q</w:t>
            </w:r>
          </w:p>
        </w:tc>
        <w:tc>
          <w:tcPr>
            <w:tcW w:type="dxa" w:w="4703"/>
          </w:tcPr>
          <w:p>
            <w:pPr>
              <w:spacing w:after="40" w:line="240" w:lineRule="auto"/>
            </w:pPr>
            <w:r/>
            <w:r>
              <w:rPr>
                <w:rFonts w:ascii="Arial" w:hAnsi="Arial"/>
                <w:sz w:val="20"/>
              </w:rPr>
              <w:t>cantidad de pedido</w:t>
            </w:r>
          </w:p>
        </w:tc>
      </w:tr>
      <w:tr>
        <w:tc>
          <w:tcPr>
            <w:tcW w:type="dxa" w:w="4703"/>
          </w:tcPr>
          <w:p>
            <w:pPr>
              <w:spacing w:after="40" w:line="240" w:lineRule="auto"/>
            </w:pPr>
            <w:r/>
            <w:r>
              <w:rPr>
                <w:rFonts w:ascii="Arial" w:hAnsi="Arial"/>
                <w:sz w:val="20"/>
              </w:rPr>
              <w:t>r</w:t>
            </w:r>
          </w:p>
        </w:tc>
        <w:tc>
          <w:tcPr>
            <w:tcW w:type="dxa" w:w="4703"/>
          </w:tcPr>
          <w:p>
            <w:pPr>
              <w:spacing w:after="40" w:line="240" w:lineRule="auto"/>
            </w:pPr>
            <w:r/>
            <w:r>
              <w:rPr>
                <w:rFonts w:ascii="Arial" w:hAnsi="Arial"/>
                <w:sz w:val="20"/>
              </w:rPr>
              <w:t>punto de reabastecimiento</w:t>
            </w:r>
          </w:p>
        </w:tc>
      </w:tr>
      <w:tr>
        <w:tc>
          <w:tcPr>
            <w:tcW w:type="dxa" w:w="4703"/>
          </w:tcPr>
          <w:p>
            <w:pPr>
              <w:spacing w:after="40" w:line="240" w:lineRule="auto"/>
            </w:pPr>
            <w:r/>
            <w:r>
              <w:rPr>
                <w:rFonts w:ascii="Arial" w:hAnsi="Arial"/>
                <w:sz w:val="20"/>
              </w:rPr>
              <w:t>E(B_r)</w:t>
            </w:r>
          </w:p>
        </w:tc>
        <w:tc>
          <w:tcPr>
            <w:tcW w:type="dxa" w:w="4703"/>
          </w:tcPr>
          <w:p>
            <w:pPr>
              <w:spacing w:after="40" w:line="240" w:lineRule="auto"/>
            </w:pPr>
            <w:r/>
            <w:r>
              <w:rPr>
                <w:rFonts w:ascii="Arial" w:hAnsi="Arial"/>
                <w:sz w:val="20"/>
              </w:rPr>
              <w:t>déficit esperado por ciclo</w:t>
            </w:r>
          </w:p>
        </w:tc>
      </w:tr>
    </w:tbl>
    <w:p/>
    <w:p>
      <w:r>
        <w:rPr>
          <w:rFonts w:ascii="Arial" w:hAnsi="Arial"/>
          <w:sz w:val="22"/>
        </w:rPr>
        <w:t>El costo anual esperado es la ecuación (11) de Winston, página 892:</w:t>
      </w:r>
    </w:p>
    <w:p>
      <w:pPr>
        <w:ind w:left="567"/>
      </w:pPr>
      <w:r>
        <w:rPr>
          <w:rFonts w:ascii="Arial" w:hAnsi="Arial"/>
          <w:b/>
          <w:i/>
          <w:sz w:val="22"/>
        </w:rPr>
        <w:t>TC(q, r) = h · (q/2 + r − E(X)) + c_B · E(B_r) · E(D)/q + K · E(D)/q</w:t>
      </w:r>
    </w:p>
    <w:p>
      <w:r>
        <w:rPr>
          <w:rFonts w:ascii="Arial" w:hAnsi="Arial"/>
          <w:sz w:val="22"/>
        </w:rPr>
        <w:t xml:space="preserve">Los tres términos son, en orden: lo que cuesta almacenar, lo que cuesta el déficit y lo que cuesta hacer los pedidos. El </w:t>
      </w:r>
      <w:r>
        <w:rPr>
          <w:rFonts w:ascii="Arial" w:hAnsi="Arial"/>
          <w:b/>
          <w:sz w:val="22"/>
        </w:rPr>
        <w:t>stock de seguridad es r − E(X)</w:t>
      </w:r>
      <w:r>
        <w:rPr>
          <w:rFonts w:ascii="Arial" w:hAnsi="Arial"/>
          <w:sz w:val="22"/>
        </w:rPr>
        <w:t>, o sea lo que se lleva por encima de lo que se espera consumir mientras llega el pedido.</w:t>
      </w:r>
    </w:p>
    <w:p>
      <w:r>
        <w:rPr>
          <w:rFonts w:ascii="Arial" w:hAnsi="Arial"/>
          <w:sz w:val="22"/>
        </w:rPr>
        <w:t xml:space="preserve">Una aclaración que importa: Winston define TC(q, r) explícitamente como el "costo anual esperado </w:t>
      </w:r>
      <w:r>
        <w:rPr>
          <w:rFonts w:ascii="Arial" w:hAnsi="Arial"/>
          <w:b/>
          <w:sz w:val="22"/>
        </w:rPr>
        <w:t>sin incluir costo de compra</w:t>
      </w:r>
      <w:r>
        <w:rPr>
          <w:rFonts w:ascii="Arial" w:hAnsi="Arial"/>
          <w:sz w:val="22"/>
        </w:rPr>
        <w:t>". No es una decisión nuestra, es como está planteado el modelo, y tiene todo el sentido: se compra la misma cantidad al mismo precio unitario sin importar qué política de inventario se use, así que ese término aparecería idéntico a los dos lados de la comparación. Lo vamos a reportar igual, pero aparte.</w:t>
      </w:r>
    </w:p>
    <w:p>
      <w:pPr>
        <w:keepNext/>
        <w:spacing w:before="360" w:after="120"/>
      </w:pPr>
      <w:r>
        <w:rPr>
          <w:rFonts w:ascii="Arial" w:hAnsi="Arial"/>
          <w:b/>
          <w:sz w:val="32"/>
        </w:rPr>
        <w:t>3.2. Los insumos y sus parámetros</w:t>
      </w:r>
    </w:p>
    <w:p>
      <w:r>
        <w:rPr>
          <w:rFonts w:ascii="Arial" w:hAnsi="Arial"/>
          <w:sz w:val="22"/>
        </w:rPr>
        <w:t>Entonces comenzamos definiendo los insumos como variables de decisión junto a su costo:</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44"/>
        <w:gridCol w:w="1344"/>
        <w:gridCol w:w="1344"/>
        <w:gridCol w:w="1344"/>
        <w:gridCol w:w="1344"/>
        <w:gridCol w:w="1344"/>
        <w:gridCol w:w="1344"/>
      </w:tblGrid>
      <w:tr>
        <w:tc>
          <w:tcPr>
            <w:tcW w:type="dxa" w:w="1344"/>
          </w:tcPr>
          <w:p>
            <w:pPr>
              <w:spacing w:after="40" w:line="240" w:lineRule="auto"/>
            </w:pPr>
            <w:r/>
            <w:r>
              <w:rPr>
                <w:rFonts w:ascii="Arial" w:hAnsi="Arial"/>
                <w:b/>
                <w:sz w:val="20"/>
              </w:rPr>
              <w:t>Variable</w:t>
            </w:r>
          </w:p>
        </w:tc>
        <w:tc>
          <w:tcPr>
            <w:tcW w:type="dxa" w:w="1344"/>
          </w:tcPr>
          <w:p>
            <w:pPr>
              <w:spacing w:after="40" w:line="240" w:lineRule="auto"/>
            </w:pPr>
            <w:r/>
            <w:r>
              <w:rPr>
                <w:rFonts w:ascii="Arial" w:hAnsi="Arial"/>
                <w:b/>
                <w:sz w:val="20"/>
              </w:rPr>
              <w:t>Insumo</w:t>
            </w:r>
          </w:p>
        </w:tc>
        <w:tc>
          <w:tcPr>
            <w:tcW w:type="dxa" w:w="1344"/>
          </w:tcPr>
          <w:p>
            <w:pPr>
              <w:spacing w:after="40" w:line="240" w:lineRule="auto"/>
            </w:pPr>
            <w:r/>
            <w:r>
              <w:rPr>
                <w:rFonts w:ascii="Arial" w:hAnsi="Arial"/>
                <w:b/>
                <w:sz w:val="20"/>
              </w:rPr>
              <w:t>Costo unitario</w:t>
            </w:r>
          </w:p>
        </w:tc>
        <w:tc>
          <w:tcPr>
            <w:tcW w:type="dxa" w:w="1344"/>
          </w:tcPr>
          <w:p>
            <w:pPr>
              <w:spacing w:after="40" w:line="240" w:lineRule="auto"/>
            </w:pPr>
            <w:r/>
            <w:r>
              <w:rPr>
                <w:rFonts w:ascii="Arial" w:hAnsi="Arial"/>
                <w:b/>
                <w:sz w:val="20"/>
              </w:rPr>
              <w:t>Uso por auto</w:t>
            </w:r>
          </w:p>
        </w:tc>
        <w:tc>
          <w:tcPr>
            <w:tcW w:type="dxa" w:w="1344"/>
          </w:tcPr>
          <w:p>
            <w:pPr>
              <w:spacing w:after="40" w:line="240" w:lineRule="auto"/>
            </w:pPr>
            <w:r/>
            <w:r>
              <w:rPr>
                <w:rFonts w:ascii="Arial" w:hAnsi="Arial"/>
                <w:b/>
                <w:sz w:val="20"/>
              </w:rPr>
              <w:t>Volumen (m³)</w:t>
            </w:r>
          </w:p>
        </w:tc>
        <w:tc>
          <w:tcPr>
            <w:tcW w:type="dxa" w:w="1344"/>
          </w:tcPr>
          <w:p>
            <w:pPr>
              <w:spacing w:after="40" w:line="240" w:lineRule="auto"/>
            </w:pPr>
            <w:r/>
            <w:r>
              <w:rPr>
                <w:rFonts w:ascii="Arial" w:hAnsi="Arial"/>
                <w:b/>
                <w:sz w:val="20"/>
              </w:rPr>
              <w:t>Lead time (sem.)</w:t>
            </w:r>
          </w:p>
        </w:tc>
        <w:tc>
          <w:tcPr>
            <w:tcW w:type="dxa" w:w="1344"/>
          </w:tcPr>
          <w:p>
            <w:pPr>
              <w:spacing w:after="40" w:line="240" w:lineRule="auto"/>
            </w:pPr>
            <w:r/>
            <w:r>
              <w:rPr>
                <w:rFonts w:ascii="Arial" w:hAnsi="Arial"/>
                <w:b/>
                <w:sz w:val="20"/>
              </w:rPr>
              <w:t>Vehículo</w:t>
            </w:r>
          </w:p>
        </w:tc>
      </w:tr>
      <w:tr>
        <w:tc>
          <w:tcPr>
            <w:tcW w:type="dxa" w:w="1344"/>
          </w:tcPr>
          <w:p>
            <w:pPr>
              <w:spacing w:after="40" w:line="240" w:lineRule="auto"/>
            </w:pPr>
            <w:r/>
            <w:r>
              <w:rPr>
                <w:rFonts w:ascii="Arial" w:hAnsi="Arial"/>
                <w:sz w:val="20"/>
              </w:rPr>
              <w:t>x₁</w:t>
            </w:r>
          </w:p>
        </w:tc>
        <w:tc>
          <w:tcPr>
            <w:tcW w:type="dxa" w:w="1344"/>
          </w:tcPr>
          <w:p>
            <w:pPr>
              <w:spacing w:after="40" w:line="240" w:lineRule="auto"/>
            </w:pPr>
            <w:r/>
            <w:r>
              <w:rPr>
                <w:rFonts w:ascii="Arial" w:hAnsi="Arial"/>
                <w:sz w:val="20"/>
              </w:rPr>
              <w:t>Carrocería Artesanal de Época</w:t>
            </w:r>
          </w:p>
        </w:tc>
        <w:tc>
          <w:tcPr>
            <w:tcW w:type="dxa" w:w="1344"/>
          </w:tcPr>
          <w:p>
            <w:pPr>
              <w:spacing w:after="40" w:line="240" w:lineRule="auto"/>
            </w:pPr>
            <w:r/>
            <w:r>
              <w:rPr>
                <w:rFonts w:ascii="Arial" w:hAnsi="Arial"/>
                <w:sz w:val="20"/>
              </w:rPr>
              <w:t>USD 15.000</w:t>
            </w:r>
          </w:p>
        </w:tc>
        <w:tc>
          <w:tcPr>
            <w:tcW w:type="dxa" w:w="1344"/>
          </w:tcPr>
          <w:p>
            <w:pPr>
              <w:spacing w:after="40" w:line="240" w:lineRule="auto"/>
            </w:pPr>
            <w:r/>
            <w:r>
              <w:rPr>
                <w:rFonts w:ascii="Arial" w:hAnsi="Arial"/>
                <w:sz w:val="20"/>
              </w:rPr>
              <w:t>1</w:t>
            </w:r>
          </w:p>
        </w:tc>
        <w:tc>
          <w:tcPr>
            <w:tcW w:type="dxa" w:w="1344"/>
          </w:tcPr>
          <w:p>
            <w:pPr>
              <w:spacing w:after="40" w:line="240" w:lineRule="auto"/>
            </w:pPr>
            <w:r/>
            <w:r>
              <w:rPr>
                <w:rFonts w:ascii="Arial" w:hAnsi="Arial"/>
                <w:sz w:val="20"/>
              </w:rPr>
              <w:t>4,0</w:t>
            </w:r>
          </w:p>
        </w:tc>
        <w:tc>
          <w:tcPr>
            <w:tcW w:type="dxa" w:w="1344"/>
          </w:tcPr>
          <w:p>
            <w:pPr>
              <w:spacing w:after="40" w:line="240" w:lineRule="auto"/>
            </w:pPr>
            <w:r/>
            <w:r>
              <w:rPr>
                <w:rFonts w:ascii="Arial" w:hAnsi="Arial"/>
                <w:sz w:val="20"/>
              </w:rPr>
              <w:t>10</w:t>
            </w:r>
          </w:p>
        </w:tc>
        <w:tc>
          <w:tcPr>
            <w:tcW w:type="dxa" w:w="1344"/>
          </w:tcPr>
          <w:p>
            <w:pPr>
              <w:spacing w:after="40" w:line="240" w:lineRule="auto"/>
            </w:pPr>
            <w:r/>
            <w:r>
              <w:rPr>
                <w:rFonts w:ascii="Arial" w:hAnsi="Arial"/>
                <w:sz w:val="20"/>
              </w:rPr>
              <w:t>Vintage</w:t>
            </w:r>
          </w:p>
        </w:tc>
      </w:tr>
      <w:tr>
        <w:tc>
          <w:tcPr>
            <w:tcW w:type="dxa" w:w="1344"/>
          </w:tcPr>
          <w:p>
            <w:pPr>
              <w:spacing w:after="40" w:line="240" w:lineRule="auto"/>
            </w:pPr>
            <w:r/>
            <w:r>
              <w:rPr>
                <w:rFonts w:ascii="Arial" w:hAnsi="Arial"/>
                <w:sz w:val="20"/>
              </w:rPr>
              <w:t>x₂</w:t>
            </w:r>
          </w:p>
        </w:tc>
        <w:tc>
          <w:tcPr>
            <w:tcW w:type="dxa" w:w="1344"/>
          </w:tcPr>
          <w:p>
            <w:pPr>
              <w:spacing w:after="40" w:line="240" w:lineRule="auto"/>
            </w:pPr>
            <w:r/>
            <w:r>
              <w:rPr>
                <w:rFonts w:ascii="Arial" w:hAnsi="Arial"/>
                <w:sz w:val="20"/>
              </w:rPr>
              <w:t>Motor de Alto Rendimiento V8</w:t>
            </w:r>
          </w:p>
        </w:tc>
        <w:tc>
          <w:tcPr>
            <w:tcW w:type="dxa" w:w="1344"/>
          </w:tcPr>
          <w:p>
            <w:pPr>
              <w:spacing w:after="40" w:line="240" w:lineRule="auto"/>
            </w:pPr>
            <w:r/>
            <w:r>
              <w:rPr>
                <w:rFonts w:ascii="Arial" w:hAnsi="Arial"/>
                <w:sz w:val="20"/>
              </w:rPr>
              <w:t>USD 9.000</w:t>
            </w:r>
          </w:p>
        </w:tc>
        <w:tc>
          <w:tcPr>
            <w:tcW w:type="dxa" w:w="1344"/>
          </w:tcPr>
          <w:p>
            <w:pPr>
              <w:spacing w:after="40" w:line="240" w:lineRule="auto"/>
            </w:pPr>
            <w:r/>
            <w:r>
              <w:rPr>
                <w:rFonts w:ascii="Arial" w:hAnsi="Arial"/>
                <w:sz w:val="20"/>
              </w:rPr>
              <w:t>1</w:t>
            </w:r>
          </w:p>
        </w:tc>
        <w:tc>
          <w:tcPr>
            <w:tcW w:type="dxa" w:w="1344"/>
          </w:tcPr>
          <w:p>
            <w:pPr>
              <w:spacing w:after="40" w:line="240" w:lineRule="auto"/>
            </w:pPr>
            <w:r/>
            <w:r>
              <w:rPr>
                <w:rFonts w:ascii="Arial" w:hAnsi="Arial"/>
                <w:sz w:val="20"/>
              </w:rPr>
              <w:t>0,8</w:t>
            </w:r>
          </w:p>
        </w:tc>
        <w:tc>
          <w:tcPr>
            <w:tcW w:type="dxa" w:w="1344"/>
          </w:tcPr>
          <w:p>
            <w:pPr>
              <w:spacing w:after="40" w:line="240" w:lineRule="auto"/>
            </w:pPr>
            <w:r/>
            <w:r>
              <w:rPr>
                <w:rFonts w:ascii="Arial" w:hAnsi="Arial"/>
                <w:sz w:val="20"/>
              </w:rPr>
              <w:t>6</w:t>
            </w:r>
          </w:p>
        </w:tc>
        <w:tc>
          <w:tcPr>
            <w:tcW w:type="dxa" w:w="1344"/>
          </w:tcPr>
          <w:p>
            <w:pPr>
              <w:spacing w:after="40" w:line="240" w:lineRule="auto"/>
            </w:pPr>
            <w:r/>
            <w:r>
              <w:rPr>
                <w:rFonts w:ascii="Arial" w:hAnsi="Arial"/>
                <w:sz w:val="20"/>
              </w:rPr>
              <w:t>Clásico</w:t>
            </w:r>
          </w:p>
        </w:tc>
      </w:tr>
      <w:tr>
        <w:tc>
          <w:tcPr>
            <w:tcW w:type="dxa" w:w="1344"/>
          </w:tcPr>
          <w:p>
            <w:pPr>
              <w:spacing w:after="40" w:line="240" w:lineRule="auto"/>
            </w:pPr>
            <w:r/>
            <w:r>
              <w:rPr>
                <w:rFonts w:ascii="Arial" w:hAnsi="Arial"/>
                <w:sz w:val="20"/>
              </w:rPr>
              <w:t>x₃</w:t>
            </w:r>
          </w:p>
        </w:tc>
        <w:tc>
          <w:tcPr>
            <w:tcW w:type="dxa" w:w="1344"/>
          </w:tcPr>
          <w:p>
            <w:pPr>
              <w:spacing w:after="40" w:line="240" w:lineRule="auto"/>
            </w:pPr>
            <w:r/>
            <w:r>
              <w:rPr>
                <w:rFonts w:ascii="Arial" w:hAnsi="Arial"/>
                <w:sz w:val="20"/>
              </w:rPr>
              <w:t>Motor de Cilindros en Línea Raro</w:t>
            </w:r>
          </w:p>
        </w:tc>
        <w:tc>
          <w:tcPr>
            <w:tcW w:type="dxa" w:w="1344"/>
          </w:tcPr>
          <w:p>
            <w:pPr>
              <w:spacing w:after="40" w:line="240" w:lineRule="auto"/>
            </w:pPr>
            <w:r/>
            <w:r>
              <w:rPr>
                <w:rFonts w:ascii="Arial" w:hAnsi="Arial"/>
                <w:sz w:val="20"/>
              </w:rPr>
              <w:t>USD 12.000</w:t>
            </w:r>
          </w:p>
        </w:tc>
        <w:tc>
          <w:tcPr>
            <w:tcW w:type="dxa" w:w="1344"/>
          </w:tcPr>
          <w:p>
            <w:pPr>
              <w:spacing w:after="40" w:line="240" w:lineRule="auto"/>
            </w:pPr>
            <w:r/>
            <w:r>
              <w:rPr>
                <w:rFonts w:ascii="Arial" w:hAnsi="Arial"/>
                <w:sz w:val="20"/>
              </w:rPr>
              <w:t>1</w:t>
            </w:r>
          </w:p>
        </w:tc>
        <w:tc>
          <w:tcPr>
            <w:tcW w:type="dxa" w:w="1344"/>
          </w:tcPr>
          <w:p>
            <w:pPr>
              <w:spacing w:after="40" w:line="240" w:lineRule="auto"/>
            </w:pPr>
            <w:r/>
            <w:r>
              <w:rPr>
                <w:rFonts w:ascii="Arial" w:hAnsi="Arial"/>
                <w:sz w:val="20"/>
              </w:rPr>
              <w:t>0,9</w:t>
            </w:r>
          </w:p>
        </w:tc>
        <w:tc>
          <w:tcPr>
            <w:tcW w:type="dxa" w:w="1344"/>
          </w:tcPr>
          <w:p>
            <w:pPr>
              <w:spacing w:after="40" w:line="240" w:lineRule="auto"/>
            </w:pPr>
            <w:r/>
            <w:r>
              <w:rPr>
                <w:rFonts w:ascii="Arial" w:hAnsi="Arial"/>
                <w:sz w:val="20"/>
              </w:rPr>
              <w:t>12</w:t>
            </w:r>
          </w:p>
        </w:tc>
        <w:tc>
          <w:tcPr>
            <w:tcW w:type="dxa" w:w="1344"/>
          </w:tcPr>
          <w:p>
            <w:pPr>
              <w:spacing w:after="40" w:line="240" w:lineRule="auto"/>
            </w:pPr>
            <w:r/>
            <w:r>
              <w:rPr>
                <w:rFonts w:ascii="Arial" w:hAnsi="Arial"/>
                <w:sz w:val="20"/>
              </w:rPr>
              <w:t>Vintage</w:t>
            </w:r>
          </w:p>
        </w:tc>
      </w:tr>
      <w:tr>
        <w:tc>
          <w:tcPr>
            <w:tcW w:type="dxa" w:w="1344"/>
          </w:tcPr>
          <w:p>
            <w:pPr>
              <w:spacing w:after="40" w:line="240" w:lineRule="auto"/>
            </w:pPr>
            <w:r/>
            <w:r>
              <w:rPr>
                <w:rFonts w:ascii="Arial" w:hAnsi="Arial"/>
                <w:sz w:val="20"/>
              </w:rPr>
              <w:t>x₄</w:t>
            </w:r>
          </w:p>
        </w:tc>
        <w:tc>
          <w:tcPr>
            <w:tcW w:type="dxa" w:w="1344"/>
          </w:tcPr>
          <w:p>
            <w:pPr>
              <w:spacing w:after="40" w:line="240" w:lineRule="auto"/>
            </w:pPr>
            <w:r/>
            <w:r>
              <w:rPr>
                <w:rFonts w:ascii="Arial" w:hAnsi="Arial"/>
                <w:sz w:val="20"/>
              </w:rPr>
              <w:t>Carrocería Estándar (Fibra)</w:t>
            </w:r>
          </w:p>
        </w:tc>
        <w:tc>
          <w:tcPr>
            <w:tcW w:type="dxa" w:w="1344"/>
          </w:tcPr>
          <w:p>
            <w:pPr>
              <w:spacing w:after="40" w:line="240" w:lineRule="auto"/>
            </w:pPr>
            <w:r/>
            <w:r>
              <w:rPr>
                <w:rFonts w:ascii="Arial" w:hAnsi="Arial"/>
                <w:sz w:val="20"/>
              </w:rPr>
              <w:t>USD 6.500</w:t>
            </w:r>
          </w:p>
        </w:tc>
        <w:tc>
          <w:tcPr>
            <w:tcW w:type="dxa" w:w="1344"/>
          </w:tcPr>
          <w:p>
            <w:pPr>
              <w:spacing w:after="40" w:line="240" w:lineRule="auto"/>
            </w:pPr>
            <w:r/>
            <w:r>
              <w:rPr>
                <w:rFonts w:ascii="Arial" w:hAnsi="Arial"/>
                <w:sz w:val="20"/>
              </w:rPr>
              <w:t>1</w:t>
            </w:r>
          </w:p>
        </w:tc>
        <w:tc>
          <w:tcPr>
            <w:tcW w:type="dxa" w:w="1344"/>
          </w:tcPr>
          <w:p>
            <w:pPr>
              <w:spacing w:after="40" w:line="240" w:lineRule="auto"/>
            </w:pPr>
            <w:r/>
            <w:r>
              <w:rPr>
                <w:rFonts w:ascii="Arial" w:hAnsi="Arial"/>
                <w:sz w:val="20"/>
              </w:rPr>
              <w:t>3,5</w:t>
            </w:r>
          </w:p>
        </w:tc>
        <w:tc>
          <w:tcPr>
            <w:tcW w:type="dxa" w:w="1344"/>
          </w:tcPr>
          <w:p>
            <w:pPr>
              <w:spacing w:after="40" w:line="240" w:lineRule="auto"/>
            </w:pPr>
            <w:r/>
            <w:r>
              <w:rPr>
                <w:rFonts w:ascii="Arial" w:hAnsi="Arial"/>
                <w:sz w:val="20"/>
              </w:rPr>
              <w:t>4</w:t>
            </w:r>
          </w:p>
        </w:tc>
        <w:tc>
          <w:tcPr>
            <w:tcW w:type="dxa" w:w="1344"/>
          </w:tcPr>
          <w:p>
            <w:pPr>
              <w:spacing w:after="40" w:line="240" w:lineRule="auto"/>
            </w:pPr>
            <w:r/>
            <w:r>
              <w:rPr>
                <w:rFonts w:ascii="Arial" w:hAnsi="Arial"/>
                <w:sz w:val="20"/>
              </w:rPr>
              <w:t>Clásico</w:t>
            </w:r>
          </w:p>
        </w:tc>
      </w:tr>
      <w:tr>
        <w:tc>
          <w:tcPr>
            <w:tcW w:type="dxa" w:w="1344"/>
          </w:tcPr>
          <w:p>
            <w:pPr>
              <w:spacing w:after="40" w:line="240" w:lineRule="auto"/>
            </w:pPr>
            <w:r/>
            <w:r>
              <w:rPr>
                <w:rFonts w:ascii="Arial" w:hAnsi="Arial"/>
                <w:sz w:val="20"/>
              </w:rPr>
              <w:t>x₅</w:t>
            </w:r>
          </w:p>
        </w:tc>
        <w:tc>
          <w:tcPr>
            <w:tcW w:type="dxa" w:w="1344"/>
          </w:tcPr>
          <w:p>
            <w:pPr>
              <w:spacing w:after="40" w:line="240" w:lineRule="auto"/>
            </w:pPr>
            <w:r/>
            <w:r>
              <w:rPr>
                <w:rFonts w:ascii="Arial" w:hAnsi="Arial"/>
                <w:sz w:val="20"/>
              </w:rPr>
              <w:t>Tapicería de Cuero Premium</w:t>
            </w:r>
          </w:p>
        </w:tc>
        <w:tc>
          <w:tcPr>
            <w:tcW w:type="dxa" w:w="1344"/>
          </w:tcPr>
          <w:p>
            <w:pPr>
              <w:spacing w:after="40" w:line="240" w:lineRule="auto"/>
            </w:pPr>
            <w:r/>
            <w:r>
              <w:rPr>
                <w:rFonts w:ascii="Arial" w:hAnsi="Arial"/>
                <w:sz w:val="20"/>
              </w:rPr>
              <w:t>USD 4.000</w:t>
            </w:r>
          </w:p>
        </w:tc>
        <w:tc>
          <w:tcPr>
            <w:tcW w:type="dxa" w:w="1344"/>
          </w:tcPr>
          <w:p>
            <w:pPr>
              <w:spacing w:after="40" w:line="240" w:lineRule="auto"/>
            </w:pPr>
            <w:r/>
            <w:r>
              <w:rPr>
                <w:rFonts w:ascii="Arial" w:hAnsi="Arial"/>
                <w:sz w:val="20"/>
              </w:rPr>
              <w:t>1</w:t>
            </w:r>
          </w:p>
        </w:tc>
        <w:tc>
          <w:tcPr>
            <w:tcW w:type="dxa" w:w="1344"/>
          </w:tcPr>
          <w:p>
            <w:pPr>
              <w:spacing w:after="40" w:line="240" w:lineRule="auto"/>
            </w:pPr>
            <w:r/>
            <w:r>
              <w:rPr>
                <w:rFonts w:ascii="Arial" w:hAnsi="Arial"/>
                <w:sz w:val="20"/>
              </w:rPr>
              <w:t>0,5</w:t>
            </w:r>
          </w:p>
        </w:tc>
        <w:tc>
          <w:tcPr>
            <w:tcW w:type="dxa" w:w="1344"/>
          </w:tcPr>
          <w:p>
            <w:pPr>
              <w:spacing w:after="40" w:line="240" w:lineRule="auto"/>
            </w:pPr>
            <w:r/>
            <w:r>
              <w:rPr>
                <w:rFonts w:ascii="Arial" w:hAnsi="Arial"/>
                <w:sz w:val="20"/>
              </w:rPr>
              <w:t>8</w:t>
            </w:r>
          </w:p>
        </w:tc>
        <w:tc>
          <w:tcPr>
            <w:tcW w:type="dxa" w:w="1344"/>
          </w:tcPr>
          <w:p>
            <w:pPr>
              <w:spacing w:after="40" w:line="240" w:lineRule="auto"/>
            </w:pPr>
            <w:r/>
            <w:r>
              <w:rPr>
                <w:rFonts w:ascii="Arial" w:hAnsi="Arial"/>
                <w:sz w:val="20"/>
              </w:rPr>
              <w:t>Ambos</w:t>
            </w:r>
          </w:p>
        </w:tc>
      </w:tr>
    </w:tbl>
    <w:p/>
    <w:p>
      <w:r>
        <w:rPr>
          <w:rFonts w:ascii="Arial" w:hAnsi="Arial"/>
          <w:sz w:val="22"/>
        </w:rPr>
        <w:t>También sumamos el resto de parámetros de interés: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703"/>
        <w:gridCol w:w="4703"/>
      </w:tblGrid>
      <w:tr>
        <w:tc>
          <w:tcPr>
            <w:tcW w:type="dxa" w:w="4703"/>
          </w:tcPr>
          <w:p>
            <w:pPr>
              <w:spacing w:after="40" w:line="240" w:lineRule="auto"/>
            </w:pPr>
            <w:r/>
            <w:r>
              <w:rPr>
                <w:rFonts w:ascii="Arial" w:hAnsi="Arial"/>
                <w:b/>
                <w:sz w:val="20"/>
              </w:rPr>
              <w:t>Parámetro</w:t>
            </w:r>
          </w:p>
        </w:tc>
        <w:tc>
          <w:tcPr>
            <w:tcW w:type="dxa" w:w="4703"/>
          </w:tcPr>
          <w:p>
            <w:pPr>
              <w:spacing w:after="40" w:line="240" w:lineRule="auto"/>
            </w:pPr>
            <w:r/>
            <w:r>
              <w:rPr>
                <w:rFonts w:ascii="Arial" w:hAnsi="Arial"/>
                <w:b/>
                <w:sz w:val="20"/>
              </w:rPr>
              <w:t>Valor</w:t>
            </w:r>
          </w:p>
        </w:tc>
      </w:tr>
      <w:tr>
        <w:tc>
          <w:tcPr>
            <w:tcW w:type="dxa" w:w="4703"/>
          </w:tcPr>
          <w:p>
            <w:pPr>
              <w:spacing w:after="40" w:line="240" w:lineRule="auto"/>
            </w:pPr>
            <w:r/>
            <w:r>
              <w:rPr>
                <w:rFonts w:ascii="Arial" w:hAnsi="Arial"/>
                <w:sz w:val="20"/>
              </w:rPr>
              <w:t>Costo de la orden (K)</w:t>
            </w:r>
          </w:p>
        </w:tc>
        <w:tc>
          <w:tcPr>
            <w:tcW w:type="dxa" w:w="4703"/>
          </w:tcPr>
          <w:p>
            <w:pPr>
              <w:spacing w:after="40" w:line="240" w:lineRule="auto"/>
            </w:pPr>
            <w:r/>
            <w:r>
              <w:rPr>
                <w:rFonts w:ascii="Arial" w:hAnsi="Arial"/>
                <w:sz w:val="20"/>
              </w:rPr>
              <w:t>USD 300</w:t>
            </w:r>
          </w:p>
        </w:tc>
      </w:tr>
      <w:tr>
        <w:tc>
          <w:tcPr>
            <w:tcW w:type="dxa" w:w="4703"/>
          </w:tcPr>
          <w:p>
            <w:pPr>
              <w:spacing w:after="40" w:line="240" w:lineRule="auto"/>
            </w:pPr>
            <w:r/>
            <w:r>
              <w:rPr>
                <w:rFonts w:ascii="Arial" w:hAnsi="Arial"/>
                <w:sz w:val="20"/>
              </w:rPr>
              <w:t>Costo de almacenamiento (h)</w:t>
            </w:r>
          </w:p>
        </w:tc>
        <w:tc>
          <w:tcPr>
            <w:tcW w:type="dxa" w:w="4703"/>
          </w:tcPr>
          <w:p>
            <w:pPr>
              <w:spacing w:after="40" w:line="240" w:lineRule="auto"/>
            </w:pPr>
            <w:r/>
            <w:r>
              <w:rPr>
                <w:rFonts w:ascii="Arial" w:hAnsi="Arial"/>
                <w:sz w:val="20"/>
              </w:rPr>
              <w:t>20% del costo del insumo, anual</w:t>
            </w:r>
          </w:p>
        </w:tc>
      </w:tr>
      <w:tr>
        <w:tc>
          <w:tcPr>
            <w:tcW w:type="dxa" w:w="4703"/>
          </w:tcPr>
          <w:p>
            <w:pPr>
              <w:spacing w:after="40" w:line="240" w:lineRule="auto"/>
            </w:pPr>
            <w:r/>
            <w:r>
              <w:rPr>
                <w:rFonts w:ascii="Arial" w:hAnsi="Arial"/>
                <w:sz w:val="20"/>
              </w:rPr>
              <w:t>Costo de agotamiento (c_B)</w:t>
            </w:r>
          </w:p>
        </w:tc>
        <w:tc>
          <w:tcPr>
            <w:tcW w:type="dxa" w:w="4703"/>
          </w:tcPr>
          <w:p>
            <w:pPr>
              <w:spacing w:after="40" w:line="240" w:lineRule="auto"/>
            </w:pPr>
            <w:r/>
            <w:r>
              <w:rPr>
                <w:rFonts w:ascii="Arial" w:hAnsi="Arial"/>
                <w:sz w:val="20"/>
              </w:rPr>
              <w:t>5% de descuento en el precio del auto</w:t>
            </w:r>
          </w:p>
        </w:tc>
      </w:tr>
    </w:tbl>
    <w:p/>
    <w:p>
      <w:pPr>
        <w:keepNext/>
        <w:spacing w:before="360" w:after="120"/>
      </w:pPr>
      <w:r>
        <w:rPr>
          <w:rFonts w:ascii="Arial" w:hAnsi="Arial"/>
          <w:b/>
          <w:sz w:val="32"/>
        </w:rPr>
        <w:t>3.3. El costo de agotamiento</w:t>
      </w:r>
    </w:p>
    <w:p>
      <w:r>
        <w:rPr>
          <w:rFonts w:ascii="Arial" w:hAnsi="Arial"/>
          <w:sz w:val="22"/>
        </w:rPr>
        <w:t>Acá nos topamos con un problema. El enunciado dice que la compensación es un descuento del 5% sobre el precio del auto, pero no nos da ese precio: la tabla de insumos informa costos, no precios de venta. Y sin ese número no podemos poner el modelo a funcionar.</w:t>
      </w:r>
    </w:p>
    <w:p>
      <w:r>
        <w:rPr>
          <w:rFonts w:ascii="Arial" w:hAnsi="Arial"/>
          <w:sz w:val="22"/>
        </w:rPr>
        <w:t xml:space="preserve">Lo que sí podemos calcular con los datos que tenemos es el </w:t>
      </w:r>
      <w:r>
        <w:rPr>
          <w:rFonts w:ascii="Arial" w:hAnsi="Arial"/>
          <w:b/>
          <w:sz w:val="22"/>
        </w:rPr>
        <w:t>costo de los materiales de cada vehículo</w:t>
      </w:r>
      <w:r>
        <w:rPr>
          <w:rFonts w:ascii="Arial" w:hAnsi="Arial"/>
          <w:sz w:val="22"/>
        </w:rPr>
        <w:t>, sumando todos los insumos que lleva multiplicados por su ratio de uso:</w:t>
      </w:r>
    </w:p>
    <w:p>
      <w:pPr>
        <w:spacing w:line="240" w:lineRule="auto"/>
        <w:ind w:left="567"/>
      </w:pPr>
      <w:r>
        <w:rPr>
          <w:rFonts w:ascii="Consolas" w:hAnsi="Consolas"/>
          <w:sz w:val="19"/>
        </w:rPr>
        <w:t>Clásico = 9.000 + 6.500 + 3.500 + 1.200 + 4.000 + 4×400   + 4×250 = USD 26.800</w:t>
        <w:br/>
        <w:t>Vintage = 12.000 + 15.000 + 3.500 + 900  + 4.000 + 4×2.500 + 4×250 = USD 46.400</w:t>
      </w:r>
    </w:p>
    <w:p>
      <w:r>
        <w:rPr>
          <w:rFonts w:ascii="Arial" w:hAnsi="Arial"/>
          <w:sz w:val="22"/>
        </w:rPr>
        <w:t>El razonamiento que hicimos es el siguiente: ninguna empresa vende un auto por debajo de lo que le costaron los materiales para fabricarlo. Entonces ese número es, como mínimo, el piso del precio de venta. Si calculamos el 5% sobre ese piso, el costo de agotamiento que obtenemos también es un piso.</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35"/>
        <w:gridCol w:w="3135"/>
        <w:gridCol w:w="3135"/>
      </w:tblGrid>
      <w:tr>
        <w:tc>
          <w:tcPr>
            <w:tcW w:type="dxa" w:w="3135"/>
          </w:tcPr>
          <w:p>
            <w:pPr>
              <w:spacing w:after="40" w:line="240" w:lineRule="auto"/>
            </w:pPr>
            <w:r/>
            <w:r>
              <w:rPr>
                <w:rFonts w:ascii="Arial" w:hAnsi="Arial"/>
                <w:b/>
                <w:sz w:val="20"/>
              </w:rPr>
              <w:t>Vehículo</w:t>
            </w:r>
          </w:p>
        </w:tc>
        <w:tc>
          <w:tcPr>
            <w:tcW w:type="dxa" w:w="3135"/>
          </w:tcPr>
          <w:p>
            <w:pPr>
              <w:spacing w:after="40" w:line="240" w:lineRule="auto"/>
            </w:pPr>
            <w:r/>
            <w:r>
              <w:rPr>
                <w:rFonts w:ascii="Arial" w:hAnsi="Arial"/>
                <w:b/>
                <w:sz w:val="20"/>
              </w:rPr>
              <w:t>Costo de materiales</w:t>
            </w:r>
          </w:p>
        </w:tc>
        <w:tc>
          <w:tcPr>
            <w:tcW w:type="dxa" w:w="3135"/>
          </w:tcPr>
          <w:p>
            <w:pPr>
              <w:spacing w:after="40" w:line="240" w:lineRule="auto"/>
            </w:pPr>
            <w:r/>
            <w:r>
              <w:rPr>
                <w:rFonts w:ascii="Arial" w:hAnsi="Arial"/>
                <w:b/>
                <w:sz w:val="20"/>
              </w:rPr>
              <w:t>c_B = 5%</w:t>
            </w:r>
          </w:p>
        </w:tc>
      </w:tr>
      <w:tr>
        <w:tc>
          <w:tcPr>
            <w:tcW w:type="dxa" w:w="3135"/>
          </w:tcPr>
          <w:p>
            <w:pPr>
              <w:spacing w:after="40" w:line="240" w:lineRule="auto"/>
            </w:pPr>
            <w:r/>
            <w:r>
              <w:rPr>
                <w:rFonts w:ascii="Arial" w:hAnsi="Arial"/>
                <w:sz w:val="20"/>
              </w:rPr>
              <w:t>Clásico</w:t>
            </w:r>
          </w:p>
        </w:tc>
        <w:tc>
          <w:tcPr>
            <w:tcW w:type="dxa" w:w="3135"/>
          </w:tcPr>
          <w:p>
            <w:pPr>
              <w:spacing w:after="40" w:line="240" w:lineRule="auto"/>
            </w:pPr>
            <w:r/>
            <w:r>
              <w:rPr>
                <w:rFonts w:ascii="Arial" w:hAnsi="Arial"/>
                <w:sz w:val="20"/>
              </w:rPr>
              <w:t>26.800</w:t>
            </w:r>
          </w:p>
        </w:tc>
        <w:tc>
          <w:tcPr>
            <w:tcW w:type="dxa" w:w="3135"/>
          </w:tcPr>
          <w:p>
            <w:pPr>
              <w:spacing w:after="40" w:line="240" w:lineRule="auto"/>
            </w:pPr>
            <w:r/>
            <w:r>
              <w:rPr>
                <w:rFonts w:ascii="Arial" w:hAnsi="Arial"/>
                <w:b/>
                <w:sz w:val="20"/>
              </w:rPr>
              <w:t>USD 1.340</w:t>
            </w:r>
          </w:p>
        </w:tc>
      </w:tr>
      <w:tr>
        <w:tc>
          <w:tcPr>
            <w:tcW w:type="dxa" w:w="3135"/>
          </w:tcPr>
          <w:p>
            <w:pPr>
              <w:spacing w:after="40" w:line="240" w:lineRule="auto"/>
            </w:pPr>
            <w:r/>
            <w:r>
              <w:rPr>
                <w:rFonts w:ascii="Arial" w:hAnsi="Arial"/>
                <w:sz w:val="20"/>
              </w:rPr>
              <w:t>Vintage</w:t>
            </w:r>
          </w:p>
        </w:tc>
        <w:tc>
          <w:tcPr>
            <w:tcW w:type="dxa" w:w="3135"/>
          </w:tcPr>
          <w:p>
            <w:pPr>
              <w:spacing w:after="40" w:line="240" w:lineRule="auto"/>
            </w:pPr>
            <w:r/>
            <w:r>
              <w:rPr>
                <w:rFonts w:ascii="Arial" w:hAnsi="Arial"/>
                <w:sz w:val="20"/>
              </w:rPr>
              <w:t>46.400</w:t>
            </w:r>
          </w:p>
        </w:tc>
        <w:tc>
          <w:tcPr>
            <w:tcW w:type="dxa" w:w="3135"/>
          </w:tcPr>
          <w:p>
            <w:pPr>
              <w:spacing w:after="40" w:line="240" w:lineRule="auto"/>
            </w:pPr>
            <w:r/>
            <w:r>
              <w:rPr>
                <w:rFonts w:ascii="Arial" w:hAnsi="Arial"/>
                <w:b/>
                <w:sz w:val="20"/>
              </w:rPr>
              <w:t>USD 2.320</w:t>
            </w:r>
          </w:p>
        </w:tc>
      </w:tr>
      <w:tr>
        <w:tc>
          <w:tcPr>
            <w:tcW w:type="dxa" w:w="3135"/>
          </w:tcPr>
          <w:p>
            <w:pPr>
              <w:spacing w:after="40" w:line="240" w:lineRule="auto"/>
            </w:pPr>
            <w:r/>
            <w:r>
              <w:rPr>
                <w:rFonts w:ascii="Arial" w:hAnsi="Arial"/>
                <w:sz w:val="20"/>
              </w:rPr>
              <w:t>Insumos de ambos (ponderado 61,55 / 38,45)</w:t>
            </w:r>
          </w:p>
        </w:tc>
        <w:tc>
          <w:tcPr>
            <w:tcW w:type="dxa" w:w="3135"/>
          </w:tcPr>
          <w:p>
            <w:pPr>
              <w:spacing w:after="40" w:line="240" w:lineRule="auto"/>
            </w:pPr>
            <w:r/>
            <w:r>
              <w:rPr>
                <w:rFonts w:ascii="Arial" w:hAnsi="Arial"/>
                <w:sz w:val="20"/>
              </w:rPr>
              <w:t>—</w:t>
            </w:r>
          </w:p>
        </w:tc>
        <w:tc>
          <w:tcPr>
            <w:tcW w:type="dxa" w:w="3135"/>
          </w:tcPr>
          <w:p>
            <w:pPr>
              <w:spacing w:after="40" w:line="240" w:lineRule="auto"/>
            </w:pPr>
            <w:r/>
            <w:r>
              <w:rPr>
                <w:rFonts w:ascii="Arial" w:hAnsi="Arial"/>
                <w:b/>
                <w:sz w:val="20"/>
              </w:rPr>
              <w:t>USD 1.717</w:t>
            </w:r>
          </w:p>
        </w:tc>
      </w:tr>
    </w:tbl>
    <w:p/>
    <w:p>
      <w:r>
        <w:rPr>
          <w:rFonts w:ascii="Arial" w:hAnsi="Arial"/>
          <w:sz w:val="22"/>
        </w:rPr>
        <w:t>Elegimos quedarnos cortos a propósito. Subestimar el costo de agotamiento lleva a stocks de seguridad más chicos, que es el lado incómodo del error, así que si nos equivocamos preferimos que sea del lado que después se nota. De todos modos en la sección de sensibilidad vamos a ver exactamente cuánto cambiaría la decisión si el precio real fuera bastante más alto.</w:t>
      </w:r>
    </w:p>
    <w:p>
      <w:r>
        <w:rPr>
          <w:rFonts w:ascii="Arial" w:hAnsi="Arial"/>
          <w:sz w:val="22"/>
        </w:rPr>
        <w:t>Para los insumos que se montan en los dos vehículos, el costo de agotamiento se pondera por la proporción histórica de ventas de cada línea, porque un faltante frena indistintamente la producción de un Clásico o de un Vintage.</w:t>
      </w:r>
    </w:p>
    <w:p>
      <w:pPr>
        <w:keepNext/>
        <w:spacing w:before="360" w:after="120"/>
      </w:pPr>
      <w:r>
        <w:rPr>
          <w:rFonts w:ascii="Arial" w:hAnsi="Arial"/>
          <w:b/>
          <w:sz w:val="32"/>
        </w:rPr>
        <w:t>3.4. La demanda durante el plazo de entrega</w:t>
      </w:r>
    </w:p>
    <w:p>
      <w:r>
        <w:rPr>
          <w:rFonts w:ascii="Arial" w:hAnsi="Arial"/>
          <w:sz w:val="22"/>
        </w:rPr>
        <w:t xml:space="preserve">El otro parámetro que necesitamos es cuánta demanda hay que cubrir mientras esperamos el pedido, y con cuánta incertidumbre. Winston lo resuelve en la ecuación (8), página 891: </w:t>
      </w:r>
      <w:r>
        <w:rPr>
          <w:rFonts w:ascii="Arial" w:hAnsi="Arial"/>
          <w:b/>
          <w:sz w:val="22"/>
        </w:rPr>
        <w:t>E(X) = L · E(D)</w:t>
      </w:r>
      <w:r>
        <w:rPr>
          <w:rFonts w:ascii="Arial" w:hAnsi="Arial"/>
          <w:sz w:val="22"/>
        </w:rPr>
        <w:t xml:space="preserve"> y </w:t>
      </w:r>
      <w:r>
        <w:rPr>
          <w:rFonts w:ascii="Arial" w:hAnsi="Arial"/>
          <w:b/>
          <w:sz w:val="22"/>
        </w:rPr>
        <w:t>σ_X = σ_D · √L</w:t>
      </w:r>
      <w:r>
        <w:rPr>
          <w:rFonts w:ascii="Arial" w:hAnsi="Arial"/>
          <w:sz w:val="22"/>
        </w:rPr>
        <w:t>.</w:t>
      </w:r>
    </w:p>
    <w:p>
      <w:r>
        <w:rPr>
          <w:rFonts w:ascii="Arial" w:hAnsi="Arial"/>
          <w:sz w:val="22"/>
        </w:rPr>
        <w:t>El desvío se arma en tres pasos, partiendo del error de pronóstico que sacamos en la etapa anterior: se toma el desvío mensual, se divide por la raíz de 4,33 para llevarlo a base semanal, y se multiplica por la raíz del lead time para acumularlo sobre todas las semanas de espera. El último paso supone que los errores de semanas distintas son independientes entre sí, que es exactamente el supuesto bajo el cual Winston deduce esa ecuación.</w:t>
      </w:r>
    </w:p>
    <w:p>
      <w:r>
        <w:rPr>
          <w:rFonts w:ascii="Arial" w:hAnsi="Arial"/>
          <w:sz w:val="22"/>
        </w:rPr>
        <w:t>Nos queda esta tabla, que es la entrada de todo lo que viene:</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76"/>
        <w:gridCol w:w="1176"/>
        <w:gridCol w:w="1176"/>
        <w:gridCol w:w="1176"/>
        <w:gridCol w:w="1176"/>
        <w:gridCol w:w="1176"/>
        <w:gridCol w:w="1176"/>
        <w:gridCol w:w="1176"/>
      </w:tblGrid>
      <w:tr>
        <w:tc>
          <w:tcPr>
            <w:tcW w:type="dxa" w:w="1176"/>
          </w:tcPr>
          <w:p>
            <w:pPr>
              <w:spacing w:after="40" w:line="240" w:lineRule="auto"/>
            </w:pPr>
            <w:r/>
            <w:r>
              <w:rPr>
                <w:rFonts w:ascii="Arial" w:hAnsi="Arial"/>
                <w:b/>
                <w:sz w:val="20"/>
              </w:rPr>
              <w:t>Insumo</w:t>
            </w:r>
          </w:p>
        </w:tc>
        <w:tc>
          <w:tcPr>
            <w:tcW w:type="dxa" w:w="1176"/>
          </w:tcPr>
          <w:p>
            <w:pPr>
              <w:spacing w:after="40" w:line="240" w:lineRule="auto"/>
            </w:pPr>
            <w:r/>
            <w:r>
              <w:rPr>
                <w:rFonts w:ascii="Arial" w:hAnsi="Arial"/>
                <w:b/>
                <w:sz w:val="20"/>
              </w:rPr>
              <w:t>E(D)</w:t>
            </w:r>
          </w:p>
        </w:tc>
        <w:tc>
          <w:tcPr>
            <w:tcW w:type="dxa" w:w="1176"/>
          </w:tcPr>
          <w:p>
            <w:pPr>
              <w:spacing w:after="40" w:line="240" w:lineRule="auto"/>
            </w:pPr>
            <w:r/>
            <w:r>
              <w:rPr>
                <w:rFonts w:ascii="Arial" w:hAnsi="Arial"/>
                <w:b/>
                <w:sz w:val="20"/>
              </w:rPr>
              <w:t>h</w:t>
            </w:r>
          </w:p>
        </w:tc>
        <w:tc>
          <w:tcPr>
            <w:tcW w:type="dxa" w:w="1176"/>
          </w:tcPr>
          <w:p>
            <w:pPr>
              <w:spacing w:after="40" w:line="240" w:lineRule="auto"/>
            </w:pPr>
            <w:r/>
            <w:r>
              <w:rPr>
                <w:rFonts w:ascii="Arial" w:hAnsi="Arial"/>
                <w:b/>
                <w:sz w:val="20"/>
              </w:rPr>
              <w:t>c_B</w:t>
            </w:r>
          </w:p>
        </w:tc>
        <w:tc>
          <w:tcPr>
            <w:tcW w:type="dxa" w:w="1176"/>
          </w:tcPr>
          <w:p>
            <w:pPr>
              <w:spacing w:after="40" w:line="240" w:lineRule="auto"/>
            </w:pPr>
            <w:r/>
            <w:r>
              <w:rPr>
                <w:rFonts w:ascii="Arial" w:hAnsi="Arial"/>
                <w:b/>
                <w:sz w:val="20"/>
              </w:rPr>
              <w:t>c_B/h</w:t>
            </w:r>
          </w:p>
        </w:tc>
        <w:tc>
          <w:tcPr>
            <w:tcW w:type="dxa" w:w="1176"/>
          </w:tcPr>
          <w:p>
            <w:pPr>
              <w:spacing w:after="40" w:line="240" w:lineRule="auto"/>
            </w:pPr>
            <w:r/>
            <w:r>
              <w:rPr>
                <w:rFonts w:ascii="Arial" w:hAnsi="Arial"/>
                <w:b/>
                <w:sz w:val="20"/>
              </w:rPr>
              <w:t>L (sem.)</w:t>
            </w:r>
          </w:p>
        </w:tc>
        <w:tc>
          <w:tcPr>
            <w:tcW w:type="dxa" w:w="1176"/>
          </w:tcPr>
          <w:p>
            <w:pPr>
              <w:spacing w:after="40" w:line="240" w:lineRule="auto"/>
            </w:pPr>
            <w:r/>
            <w:r>
              <w:rPr>
                <w:rFonts w:ascii="Arial" w:hAnsi="Arial"/>
                <w:b/>
                <w:sz w:val="20"/>
              </w:rPr>
              <w:t>E(X)</w:t>
            </w:r>
          </w:p>
        </w:tc>
        <w:tc>
          <w:tcPr>
            <w:tcW w:type="dxa" w:w="1176"/>
          </w:tcPr>
          <w:p>
            <w:pPr>
              <w:spacing w:after="40" w:line="240" w:lineRule="auto"/>
            </w:pPr>
            <w:r/>
            <w:r>
              <w:rPr>
                <w:rFonts w:ascii="Arial" w:hAnsi="Arial"/>
                <w:b/>
                <w:sz w:val="20"/>
              </w:rPr>
              <w:t>σ_X</w:t>
            </w:r>
          </w:p>
        </w:tc>
      </w:tr>
      <w:tr>
        <w:tc>
          <w:tcPr>
            <w:tcW w:type="dxa" w:w="1176"/>
          </w:tcPr>
          <w:p>
            <w:pPr>
              <w:spacing w:after="40" w:line="240" w:lineRule="auto"/>
            </w:pPr>
            <w:r/>
            <w:r>
              <w:rPr>
                <w:rFonts w:ascii="Arial" w:hAnsi="Arial"/>
                <w:sz w:val="20"/>
              </w:rPr>
              <w:t>Motor de Alto Rendimiento V8</w:t>
            </w:r>
          </w:p>
        </w:tc>
        <w:tc>
          <w:tcPr>
            <w:tcW w:type="dxa" w:w="1176"/>
          </w:tcPr>
          <w:p>
            <w:pPr>
              <w:spacing w:after="40" w:line="240" w:lineRule="auto"/>
            </w:pPr>
            <w:r/>
            <w:r>
              <w:rPr>
                <w:rFonts w:ascii="Arial" w:hAnsi="Arial"/>
                <w:sz w:val="20"/>
              </w:rPr>
              <w:t>565</w:t>
            </w:r>
          </w:p>
        </w:tc>
        <w:tc>
          <w:tcPr>
            <w:tcW w:type="dxa" w:w="1176"/>
          </w:tcPr>
          <w:p>
            <w:pPr>
              <w:spacing w:after="40" w:line="240" w:lineRule="auto"/>
            </w:pPr>
            <w:r/>
            <w:r>
              <w:rPr>
                <w:rFonts w:ascii="Arial" w:hAnsi="Arial"/>
                <w:sz w:val="20"/>
              </w:rPr>
              <w:t>1.800</w:t>
            </w:r>
          </w:p>
        </w:tc>
        <w:tc>
          <w:tcPr>
            <w:tcW w:type="dxa" w:w="1176"/>
          </w:tcPr>
          <w:p>
            <w:pPr>
              <w:spacing w:after="40" w:line="240" w:lineRule="auto"/>
            </w:pPr>
            <w:r/>
            <w:r>
              <w:rPr>
                <w:rFonts w:ascii="Arial" w:hAnsi="Arial"/>
                <w:sz w:val="20"/>
              </w:rPr>
              <w:t>1.340</w:t>
            </w:r>
          </w:p>
        </w:tc>
        <w:tc>
          <w:tcPr>
            <w:tcW w:type="dxa" w:w="1176"/>
          </w:tcPr>
          <w:p>
            <w:pPr>
              <w:spacing w:after="40" w:line="240" w:lineRule="auto"/>
            </w:pPr>
            <w:r/>
            <w:r>
              <w:rPr>
                <w:rFonts w:ascii="Arial" w:hAnsi="Arial"/>
                <w:sz w:val="20"/>
              </w:rPr>
              <w:t>0,74</w:t>
            </w:r>
          </w:p>
        </w:tc>
        <w:tc>
          <w:tcPr>
            <w:tcW w:type="dxa" w:w="1176"/>
          </w:tcPr>
          <w:p>
            <w:pPr>
              <w:spacing w:after="40" w:line="240" w:lineRule="auto"/>
            </w:pPr>
            <w:r/>
            <w:r>
              <w:rPr>
                <w:rFonts w:ascii="Arial" w:hAnsi="Arial"/>
                <w:sz w:val="20"/>
              </w:rPr>
              <w:t>6</w:t>
            </w:r>
          </w:p>
        </w:tc>
        <w:tc>
          <w:tcPr>
            <w:tcW w:type="dxa" w:w="1176"/>
          </w:tcPr>
          <w:p>
            <w:pPr>
              <w:spacing w:after="40" w:line="240" w:lineRule="auto"/>
            </w:pPr>
            <w:r/>
            <w:r>
              <w:rPr>
                <w:rFonts w:ascii="Arial" w:hAnsi="Arial"/>
                <w:sz w:val="20"/>
              </w:rPr>
              <w:t>65,2</w:t>
            </w:r>
          </w:p>
        </w:tc>
        <w:tc>
          <w:tcPr>
            <w:tcW w:type="dxa" w:w="1176"/>
          </w:tcPr>
          <w:p>
            <w:pPr>
              <w:spacing w:after="40" w:line="240" w:lineRule="auto"/>
            </w:pPr>
            <w:r/>
            <w:r>
              <w:rPr>
                <w:rFonts w:ascii="Arial" w:hAnsi="Arial"/>
                <w:sz w:val="20"/>
              </w:rPr>
              <w:t>4,70</w:t>
            </w:r>
          </w:p>
        </w:tc>
      </w:tr>
      <w:tr>
        <w:tc>
          <w:tcPr>
            <w:tcW w:type="dxa" w:w="1176"/>
          </w:tcPr>
          <w:p>
            <w:pPr>
              <w:spacing w:after="40" w:line="240" w:lineRule="auto"/>
            </w:pPr>
            <w:r/>
            <w:r>
              <w:rPr>
                <w:rFonts w:ascii="Arial" w:hAnsi="Arial"/>
                <w:sz w:val="20"/>
              </w:rPr>
              <w:t>Motor de Cilindros en Línea Raro</w:t>
            </w:r>
          </w:p>
        </w:tc>
        <w:tc>
          <w:tcPr>
            <w:tcW w:type="dxa" w:w="1176"/>
          </w:tcPr>
          <w:p>
            <w:pPr>
              <w:spacing w:after="40" w:line="240" w:lineRule="auto"/>
            </w:pPr>
            <w:r/>
            <w:r>
              <w:rPr>
                <w:rFonts w:ascii="Arial" w:hAnsi="Arial"/>
                <w:sz w:val="20"/>
              </w:rPr>
              <w:t>353</w:t>
            </w:r>
          </w:p>
        </w:tc>
        <w:tc>
          <w:tcPr>
            <w:tcW w:type="dxa" w:w="1176"/>
          </w:tcPr>
          <w:p>
            <w:pPr>
              <w:spacing w:after="40" w:line="240" w:lineRule="auto"/>
            </w:pPr>
            <w:r/>
            <w:r>
              <w:rPr>
                <w:rFonts w:ascii="Arial" w:hAnsi="Arial"/>
                <w:sz w:val="20"/>
              </w:rPr>
              <w:t>2.400</w:t>
            </w:r>
          </w:p>
        </w:tc>
        <w:tc>
          <w:tcPr>
            <w:tcW w:type="dxa" w:w="1176"/>
          </w:tcPr>
          <w:p>
            <w:pPr>
              <w:spacing w:after="40" w:line="240" w:lineRule="auto"/>
            </w:pPr>
            <w:r/>
            <w:r>
              <w:rPr>
                <w:rFonts w:ascii="Arial" w:hAnsi="Arial"/>
                <w:sz w:val="20"/>
              </w:rPr>
              <w:t>2.320</w:t>
            </w:r>
          </w:p>
        </w:tc>
        <w:tc>
          <w:tcPr>
            <w:tcW w:type="dxa" w:w="1176"/>
          </w:tcPr>
          <w:p>
            <w:pPr>
              <w:spacing w:after="40" w:line="240" w:lineRule="auto"/>
            </w:pPr>
            <w:r/>
            <w:r>
              <w:rPr>
                <w:rFonts w:ascii="Arial" w:hAnsi="Arial"/>
                <w:sz w:val="20"/>
              </w:rPr>
              <w:t>0,97</w:t>
            </w:r>
          </w:p>
        </w:tc>
        <w:tc>
          <w:tcPr>
            <w:tcW w:type="dxa" w:w="1176"/>
          </w:tcPr>
          <w:p>
            <w:pPr>
              <w:spacing w:after="40" w:line="240" w:lineRule="auto"/>
            </w:pPr>
            <w:r/>
            <w:r>
              <w:rPr>
                <w:rFonts w:ascii="Arial" w:hAnsi="Arial"/>
                <w:sz w:val="20"/>
              </w:rPr>
              <w:t>12</w:t>
            </w:r>
          </w:p>
        </w:tc>
        <w:tc>
          <w:tcPr>
            <w:tcW w:type="dxa" w:w="1176"/>
          </w:tcPr>
          <w:p>
            <w:pPr>
              <w:spacing w:after="40" w:line="240" w:lineRule="auto"/>
            </w:pPr>
            <w:r/>
            <w:r>
              <w:rPr>
                <w:rFonts w:ascii="Arial" w:hAnsi="Arial"/>
                <w:sz w:val="20"/>
              </w:rPr>
              <w:t>81,4</w:t>
            </w:r>
          </w:p>
        </w:tc>
        <w:tc>
          <w:tcPr>
            <w:tcW w:type="dxa" w:w="1176"/>
          </w:tcPr>
          <w:p>
            <w:pPr>
              <w:spacing w:after="40" w:line="240" w:lineRule="auto"/>
            </w:pPr>
            <w:r/>
            <w:r>
              <w:rPr>
                <w:rFonts w:ascii="Arial" w:hAnsi="Arial"/>
                <w:sz w:val="20"/>
              </w:rPr>
              <w:t>4,15</w:t>
            </w:r>
          </w:p>
        </w:tc>
      </w:tr>
      <w:tr>
        <w:tc>
          <w:tcPr>
            <w:tcW w:type="dxa" w:w="1176"/>
          </w:tcPr>
          <w:p>
            <w:pPr>
              <w:spacing w:after="40" w:line="240" w:lineRule="auto"/>
            </w:pPr>
            <w:r/>
            <w:r>
              <w:rPr>
                <w:rFonts w:ascii="Arial" w:hAnsi="Arial"/>
                <w:sz w:val="20"/>
              </w:rPr>
              <w:t>Carrocería Artesanal de Época</w:t>
            </w:r>
          </w:p>
        </w:tc>
        <w:tc>
          <w:tcPr>
            <w:tcW w:type="dxa" w:w="1176"/>
          </w:tcPr>
          <w:p>
            <w:pPr>
              <w:spacing w:after="40" w:line="240" w:lineRule="auto"/>
            </w:pPr>
            <w:r/>
            <w:r>
              <w:rPr>
                <w:rFonts w:ascii="Arial" w:hAnsi="Arial"/>
                <w:sz w:val="20"/>
              </w:rPr>
              <w:t>353</w:t>
            </w:r>
          </w:p>
        </w:tc>
        <w:tc>
          <w:tcPr>
            <w:tcW w:type="dxa" w:w="1176"/>
          </w:tcPr>
          <w:p>
            <w:pPr>
              <w:spacing w:after="40" w:line="240" w:lineRule="auto"/>
            </w:pPr>
            <w:r/>
            <w:r>
              <w:rPr>
                <w:rFonts w:ascii="Arial" w:hAnsi="Arial"/>
                <w:sz w:val="20"/>
              </w:rPr>
              <w:t>3.000</w:t>
            </w:r>
          </w:p>
        </w:tc>
        <w:tc>
          <w:tcPr>
            <w:tcW w:type="dxa" w:w="1176"/>
          </w:tcPr>
          <w:p>
            <w:pPr>
              <w:spacing w:after="40" w:line="240" w:lineRule="auto"/>
            </w:pPr>
            <w:r/>
            <w:r>
              <w:rPr>
                <w:rFonts w:ascii="Arial" w:hAnsi="Arial"/>
                <w:sz w:val="20"/>
              </w:rPr>
              <w:t>2.320</w:t>
            </w:r>
          </w:p>
        </w:tc>
        <w:tc>
          <w:tcPr>
            <w:tcW w:type="dxa" w:w="1176"/>
          </w:tcPr>
          <w:p>
            <w:pPr>
              <w:spacing w:after="40" w:line="240" w:lineRule="auto"/>
            </w:pPr>
            <w:r/>
            <w:r>
              <w:rPr>
                <w:rFonts w:ascii="Arial" w:hAnsi="Arial"/>
                <w:sz w:val="20"/>
              </w:rPr>
              <w:t>0,77</w:t>
            </w:r>
          </w:p>
        </w:tc>
        <w:tc>
          <w:tcPr>
            <w:tcW w:type="dxa" w:w="1176"/>
          </w:tcPr>
          <w:p>
            <w:pPr>
              <w:spacing w:after="40" w:line="240" w:lineRule="auto"/>
            </w:pPr>
            <w:r/>
            <w:r>
              <w:rPr>
                <w:rFonts w:ascii="Arial" w:hAnsi="Arial"/>
                <w:sz w:val="20"/>
              </w:rPr>
              <w:t>10</w:t>
            </w:r>
          </w:p>
        </w:tc>
        <w:tc>
          <w:tcPr>
            <w:tcW w:type="dxa" w:w="1176"/>
          </w:tcPr>
          <w:p>
            <w:pPr>
              <w:spacing w:after="40" w:line="240" w:lineRule="auto"/>
            </w:pPr>
            <w:r/>
            <w:r>
              <w:rPr>
                <w:rFonts w:ascii="Arial" w:hAnsi="Arial"/>
                <w:sz w:val="20"/>
              </w:rPr>
              <w:t>67,8</w:t>
            </w:r>
          </w:p>
        </w:tc>
        <w:tc>
          <w:tcPr>
            <w:tcW w:type="dxa" w:w="1176"/>
          </w:tcPr>
          <w:p>
            <w:pPr>
              <w:spacing w:after="40" w:line="240" w:lineRule="auto"/>
            </w:pPr>
            <w:r/>
            <w:r>
              <w:rPr>
                <w:rFonts w:ascii="Arial" w:hAnsi="Arial"/>
                <w:sz w:val="20"/>
              </w:rPr>
              <w:t>3,79</w:t>
            </w:r>
          </w:p>
        </w:tc>
      </w:tr>
      <w:tr>
        <w:tc>
          <w:tcPr>
            <w:tcW w:type="dxa" w:w="1176"/>
          </w:tcPr>
          <w:p>
            <w:pPr>
              <w:spacing w:after="40" w:line="240" w:lineRule="auto"/>
            </w:pPr>
            <w:r/>
            <w:r>
              <w:rPr>
                <w:rFonts w:ascii="Arial" w:hAnsi="Arial"/>
                <w:sz w:val="20"/>
              </w:rPr>
              <w:t>Carrocería Estándar (Fibra)</w:t>
            </w:r>
          </w:p>
        </w:tc>
        <w:tc>
          <w:tcPr>
            <w:tcW w:type="dxa" w:w="1176"/>
          </w:tcPr>
          <w:p>
            <w:pPr>
              <w:spacing w:after="40" w:line="240" w:lineRule="auto"/>
            </w:pPr>
            <w:r/>
            <w:r>
              <w:rPr>
                <w:rFonts w:ascii="Arial" w:hAnsi="Arial"/>
                <w:sz w:val="20"/>
              </w:rPr>
              <w:t>565</w:t>
            </w:r>
          </w:p>
        </w:tc>
        <w:tc>
          <w:tcPr>
            <w:tcW w:type="dxa" w:w="1176"/>
          </w:tcPr>
          <w:p>
            <w:pPr>
              <w:spacing w:after="40" w:line="240" w:lineRule="auto"/>
            </w:pPr>
            <w:r/>
            <w:r>
              <w:rPr>
                <w:rFonts w:ascii="Arial" w:hAnsi="Arial"/>
                <w:sz w:val="20"/>
              </w:rPr>
              <w:t>1.300</w:t>
            </w:r>
          </w:p>
        </w:tc>
        <w:tc>
          <w:tcPr>
            <w:tcW w:type="dxa" w:w="1176"/>
          </w:tcPr>
          <w:p>
            <w:pPr>
              <w:spacing w:after="40" w:line="240" w:lineRule="auto"/>
            </w:pPr>
            <w:r/>
            <w:r>
              <w:rPr>
                <w:rFonts w:ascii="Arial" w:hAnsi="Arial"/>
                <w:sz w:val="20"/>
              </w:rPr>
              <w:t>1.340</w:t>
            </w:r>
          </w:p>
        </w:tc>
        <w:tc>
          <w:tcPr>
            <w:tcW w:type="dxa" w:w="1176"/>
          </w:tcPr>
          <w:p>
            <w:pPr>
              <w:spacing w:after="40" w:line="240" w:lineRule="auto"/>
            </w:pPr>
            <w:r/>
            <w:r>
              <w:rPr>
                <w:rFonts w:ascii="Arial" w:hAnsi="Arial"/>
                <w:sz w:val="20"/>
              </w:rPr>
              <w:t>1,03</w:t>
            </w:r>
          </w:p>
        </w:tc>
        <w:tc>
          <w:tcPr>
            <w:tcW w:type="dxa" w:w="1176"/>
          </w:tcPr>
          <w:p>
            <w:pPr>
              <w:spacing w:after="40" w:line="240" w:lineRule="auto"/>
            </w:pPr>
            <w:r/>
            <w:r>
              <w:rPr>
                <w:rFonts w:ascii="Arial" w:hAnsi="Arial"/>
                <w:sz w:val="20"/>
              </w:rPr>
              <w:t>4</w:t>
            </w:r>
          </w:p>
        </w:tc>
        <w:tc>
          <w:tcPr>
            <w:tcW w:type="dxa" w:w="1176"/>
          </w:tcPr>
          <w:p>
            <w:pPr>
              <w:spacing w:after="40" w:line="240" w:lineRule="auto"/>
            </w:pPr>
            <w:r/>
            <w:r>
              <w:rPr>
                <w:rFonts w:ascii="Arial" w:hAnsi="Arial"/>
                <w:sz w:val="20"/>
              </w:rPr>
              <w:t>43,4</w:t>
            </w:r>
          </w:p>
        </w:tc>
        <w:tc>
          <w:tcPr>
            <w:tcW w:type="dxa" w:w="1176"/>
          </w:tcPr>
          <w:p>
            <w:pPr>
              <w:spacing w:after="40" w:line="240" w:lineRule="auto"/>
            </w:pPr>
            <w:r/>
            <w:r>
              <w:rPr>
                <w:rFonts w:ascii="Arial" w:hAnsi="Arial"/>
                <w:sz w:val="20"/>
              </w:rPr>
              <w:t>3,84</w:t>
            </w:r>
          </w:p>
        </w:tc>
      </w:tr>
      <w:tr>
        <w:tc>
          <w:tcPr>
            <w:tcW w:type="dxa" w:w="1176"/>
          </w:tcPr>
          <w:p>
            <w:pPr>
              <w:spacing w:after="40" w:line="240" w:lineRule="auto"/>
            </w:pPr>
            <w:r/>
            <w:r>
              <w:rPr>
                <w:rFonts w:ascii="Arial" w:hAnsi="Arial"/>
                <w:sz w:val="20"/>
              </w:rPr>
              <w:t>Tapicería de Cuero Premium</w:t>
            </w:r>
          </w:p>
        </w:tc>
        <w:tc>
          <w:tcPr>
            <w:tcW w:type="dxa" w:w="1176"/>
          </w:tcPr>
          <w:p>
            <w:pPr>
              <w:spacing w:after="40" w:line="240" w:lineRule="auto"/>
            </w:pPr>
            <w:r/>
            <w:r>
              <w:rPr>
                <w:rFonts w:ascii="Arial" w:hAnsi="Arial"/>
                <w:sz w:val="20"/>
              </w:rPr>
              <w:t>917</w:t>
            </w:r>
          </w:p>
        </w:tc>
        <w:tc>
          <w:tcPr>
            <w:tcW w:type="dxa" w:w="1176"/>
          </w:tcPr>
          <w:p>
            <w:pPr>
              <w:spacing w:after="40" w:line="240" w:lineRule="auto"/>
            </w:pPr>
            <w:r/>
            <w:r>
              <w:rPr>
                <w:rFonts w:ascii="Arial" w:hAnsi="Arial"/>
                <w:sz w:val="20"/>
              </w:rPr>
              <w:t>800</w:t>
            </w:r>
          </w:p>
        </w:tc>
        <w:tc>
          <w:tcPr>
            <w:tcW w:type="dxa" w:w="1176"/>
          </w:tcPr>
          <w:p>
            <w:pPr>
              <w:spacing w:after="40" w:line="240" w:lineRule="auto"/>
            </w:pPr>
            <w:r/>
            <w:r>
              <w:rPr>
                <w:rFonts w:ascii="Arial" w:hAnsi="Arial"/>
                <w:sz w:val="20"/>
              </w:rPr>
              <w:t>1.717</w:t>
            </w:r>
          </w:p>
        </w:tc>
        <w:tc>
          <w:tcPr>
            <w:tcW w:type="dxa" w:w="1176"/>
          </w:tcPr>
          <w:p>
            <w:pPr>
              <w:spacing w:after="40" w:line="240" w:lineRule="auto"/>
            </w:pPr>
            <w:r/>
            <w:r>
              <w:rPr>
                <w:rFonts w:ascii="Arial" w:hAnsi="Arial"/>
                <w:sz w:val="20"/>
              </w:rPr>
              <w:t>2,15</w:t>
            </w:r>
          </w:p>
        </w:tc>
        <w:tc>
          <w:tcPr>
            <w:tcW w:type="dxa" w:w="1176"/>
          </w:tcPr>
          <w:p>
            <w:pPr>
              <w:spacing w:after="40" w:line="240" w:lineRule="auto"/>
            </w:pPr>
            <w:r/>
            <w:r>
              <w:rPr>
                <w:rFonts w:ascii="Arial" w:hAnsi="Arial"/>
                <w:sz w:val="20"/>
              </w:rPr>
              <w:t>8</w:t>
            </w:r>
          </w:p>
        </w:tc>
        <w:tc>
          <w:tcPr>
            <w:tcW w:type="dxa" w:w="1176"/>
          </w:tcPr>
          <w:p>
            <w:pPr>
              <w:spacing w:after="40" w:line="240" w:lineRule="auto"/>
            </w:pPr>
            <w:r/>
            <w:r>
              <w:rPr>
                <w:rFonts w:ascii="Arial" w:hAnsi="Arial"/>
                <w:sz w:val="20"/>
              </w:rPr>
              <w:t>141,1</w:t>
            </w:r>
          </w:p>
        </w:tc>
        <w:tc>
          <w:tcPr>
            <w:tcW w:type="dxa" w:w="1176"/>
          </w:tcPr>
          <w:p>
            <w:pPr>
              <w:spacing w:after="40" w:line="240" w:lineRule="auto"/>
            </w:pPr>
            <w:r/>
            <w:r>
              <w:rPr>
                <w:rFonts w:ascii="Arial" w:hAnsi="Arial"/>
                <w:sz w:val="20"/>
              </w:rPr>
              <w:t>8,82</w:t>
            </w:r>
          </w:p>
        </w:tc>
      </w:tr>
    </w:tbl>
    <w:p/>
    <w:p>
      <w:r>
        <w:rPr>
          <w:rFonts w:ascii="Arial" w:hAnsi="Arial"/>
          <w:sz w:val="22"/>
        </w:rPr>
        <w:t xml:space="preserve">La columna que conviene mirar es </w:t>
      </w:r>
      <w:r>
        <w:rPr>
          <w:rFonts w:ascii="Arial" w:hAnsi="Arial"/>
          <w:b/>
          <w:sz w:val="22"/>
        </w:rPr>
        <w:t>c_B/h</w:t>
      </w:r>
      <w:r>
        <w:rPr>
          <w:rFonts w:ascii="Arial" w:hAnsi="Arial"/>
          <w:sz w:val="22"/>
        </w:rPr>
        <w:t>: cuánto cuesta que falte una unidad comparado con cuánto cuesta tenerla parada un año. Esa relación es la que va a gobernar todo el resultado.</w:t>
      </w:r>
    </w:p>
    <w:p>
      <w:pPr>
        <w:keepNext/>
        <w:spacing w:before="400" w:after="120"/>
      </w:pPr>
      <w:r>
        <w:rPr>
          <w:rFonts w:ascii="Arial" w:hAnsi="Arial"/>
          <w:b w:val="0"/>
          <w:sz w:val="40"/>
        </w:rPr>
        <w:t>4. Política A — EOQ con Faltantes Admitidos</w:t>
      </w:r>
    </w:p>
    <w:p>
      <w:r>
        <w:rPr>
          <w:rFonts w:ascii="Arial" w:hAnsi="Arial"/>
          <w:sz w:val="22"/>
        </w:rPr>
        <w:t xml:space="preserve">Esta es la política óptima por costos. No le imponemos ningún nivel de servicio: dejamos que el modelo elija </w:t>
      </w:r>
      <w:r>
        <w:rPr>
          <w:rFonts w:ascii="Arial" w:hAnsi="Arial"/>
          <w:i/>
          <w:sz w:val="22"/>
        </w:rPr>
        <w:t>q</w:t>
      </w:r>
      <w:r>
        <w:rPr>
          <w:rFonts w:ascii="Arial" w:hAnsi="Arial"/>
          <w:sz w:val="22"/>
        </w:rPr>
        <w:t xml:space="preserve"> y </w:t>
      </w:r>
      <w:r>
        <w:rPr>
          <w:rFonts w:ascii="Arial" w:hAnsi="Arial"/>
          <w:i/>
          <w:sz w:val="22"/>
        </w:rPr>
        <w:t>r</w:t>
      </w:r>
      <w:r>
        <w:rPr>
          <w:rFonts w:ascii="Arial" w:hAnsi="Arial"/>
          <w:sz w:val="22"/>
        </w:rPr>
        <w:t xml:space="preserve"> minimizando el costo total. Corresponde al caso de </w:t>
      </w:r>
      <w:r>
        <w:rPr>
          <w:rFonts w:ascii="Arial" w:hAnsi="Arial"/>
          <w:b/>
          <w:sz w:val="22"/>
        </w:rPr>
        <w:t>pedidos pendientes</w:t>
      </w:r>
      <w:r>
        <w:rPr>
          <w:rFonts w:ascii="Arial" w:hAnsi="Arial"/>
          <w:sz w:val="22"/>
        </w:rPr>
        <w:t xml:space="preserve"> de la sección 16.6 de Winston.</w:t>
      </w:r>
    </w:p>
    <w:p>
      <w:r>
        <w:rPr>
          <w:rFonts w:ascii="Arial" w:hAnsi="Arial"/>
          <w:sz w:val="22"/>
        </w:rPr>
        <w:t>El libro aproxima la cantidad de pedido por el EOQ y obtiene el punto de reabastecimiento por análisis marginal. Ecuación (13), página 893:</w:t>
      </w:r>
    </w:p>
    <w:p>
      <w:pPr>
        <w:ind w:left="567"/>
      </w:pPr>
      <w:r>
        <w:rPr>
          <w:rFonts w:ascii="Arial" w:hAnsi="Arial"/>
          <w:b/>
          <w:i/>
          <w:sz w:val="22"/>
        </w:rPr>
        <w:t>q\* = (2 · K · E(D) / h)^½</w:t>
      </w:r>
      <w:r>
        <w:rPr>
          <w:rFonts w:ascii="Arial" w:hAnsi="Arial"/>
          <w:i/>
          <w:sz w:val="22"/>
        </w:rPr>
        <w:t xml:space="preserve">  </w:t>
      </w:r>
      <w:r>
        <w:rPr>
          <w:rFonts w:ascii="Arial" w:hAnsi="Arial"/>
          <w:b/>
          <w:i/>
          <w:sz w:val="22"/>
        </w:rPr>
        <w:t>P(X ≥ r\*) = h · q\* / (c_B · E(D))</w:t>
      </w:r>
    </w:p>
    <w:p>
      <w:r>
        <w:rPr>
          <w:rFonts w:ascii="Arial" w:hAnsi="Arial"/>
          <w:sz w:val="22"/>
        </w:rPr>
        <w:t>La segunda ecuación tiene una lectura bastante intuitiva. Si subimos el punto de reabastecimiento en una unidad, pagamos un poco más de almacenamiento pero nos ahorramos algo de déficit. El óptimo es el punto donde las dos cosas se igualan. Leída al revés, dice que la probabilidad de quedarse sin stock que conviene tolerar es más chica cuanto más caro sea el faltante, y más grande cuanto más caro sea almacenar.</w:t>
      </w:r>
    </w:p>
    <w:p>
      <w:pPr>
        <w:keepNext/>
        <w:spacing w:before="360" w:after="120"/>
      </w:pPr>
      <w:r>
        <w:rPr>
          <w:rFonts w:ascii="Arial" w:hAnsi="Arial"/>
          <w:b/>
          <w:sz w:val="32"/>
        </w:rPr>
        <w:t>Ejemplo de cálculo</w:t>
      </w:r>
    </w:p>
    <w:p>
      <w:r>
        <w:rPr>
          <w:rFonts w:ascii="Arial" w:hAnsi="Arial"/>
          <w:sz w:val="22"/>
        </w:rPr>
        <w:t>Se mostrará un ejemplo para el Motor de Alto Rendimiento V8. El resto de los valores se dejará directamente adjunto como tabla.</w:t>
      </w:r>
    </w:p>
    <w:p>
      <w:pPr>
        <w:spacing w:line="240" w:lineRule="auto"/>
        <w:ind w:left="567"/>
      </w:pPr>
      <w:r>
        <w:rPr>
          <w:rFonts w:ascii="Consolas" w:hAnsi="Consolas"/>
          <w:sz w:val="19"/>
        </w:rPr>
        <w:t>q*  = (2 × 300 × 565 / 1.800)^½ = 13,72 unidades</w:t>
        <w:br/>
        <w:br/>
        <w:t>P(X ≥ r*) = (1.800 × 13,72) / (1.340 × 565) = 0,0326</w:t>
        <w:br/>
        <w:br/>
        <w:t>z   = Φ⁻¹(1 − 0,0326) = 1,843</w:t>
        <w:br/>
        <w:br/>
        <w:t>r*  = E(X) + z · σ_X = 65,2 + 1,843 × 4,70 = 73,83 unidades</w:t>
        <w:br/>
        <w:br/>
        <w:t>Stock de seguridad = r* − E(X) = 8,67 unidades</w:t>
      </w:r>
    </w:p>
    <w:p>
      <w:r>
        <w:rPr>
          <w:rFonts w:ascii="Arial" w:hAnsi="Arial"/>
          <w:sz w:val="22"/>
        </w:rPr>
        <w:t>O sea que pedimos de a 14 motores, y disparamos el pedido cuando quedan 74 en stock. De esos 74, unos 65 se van a consumir mientras el pedido viaja y los otros 9 son el colchón por si la demanda viene más fuerte de lo esperado.</w:t>
      </w:r>
    </w:p>
    <w:p>
      <w:r>
        <w:rPr>
          <w:rFonts w:ascii="Arial" w:hAnsi="Arial"/>
          <w:sz w:val="22"/>
        </w:rPr>
        <w:t>El número de pedidos al año es E(D)/q = 565 / 13,72 = 41,2 pedidos, o sea aproximadamente uno cada nueve días.</w:t>
      </w:r>
    </w:p>
    <w:p>
      <w:pPr>
        <w:keepNext/>
        <w:spacing w:before="360" w:after="120"/>
      </w:pPr>
      <w:r>
        <w:rPr>
          <w:rFonts w:ascii="Arial" w:hAnsi="Arial"/>
          <w:b/>
          <w:sz w:val="32"/>
        </w:rPr>
        <w:t>Resultados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76"/>
        <w:gridCol w:w="1176"/>
        <w:gridCol w:w="1176"/>
        <w:gridCol w:w="1176"/>
        <w:gridCol w:w="1176"/>
        <w:gridCol w:w="1176"/>
        <w:gridCol w:w="1176"/>
        <w:gridCol w:w="1176"/>
      </w:tblGrid>
      <w:tr>
        <w:tc>
          <w:tcPr>
            <w:tcW w:type="dxa" w:w="1176"/>
          </w:tcPr>
          <w:p>
            <w:pPr>
              <w:spacing w:after="40" w:line="240" w:lineRule="auto"/>
            </w:pPr>
            <w:r/>
            <w:r>
              <w:rPr>
                <w:rFonts w:ascii="Arial" w:hAnsi="Arial"/>
                <w:b/>
                <w:sz w:val="20"/>
              </w:rPr>
              <w:t>Insumo</w:t>
            </w:r>
          </w:p>
        </w:tc>
        <w:tc>
          <w:tcPr>
            <w:tcW w:type="dxa" w:w="1176"/>
          </w:tcPr>
          <w:p>
            <w:pPr>
              <w:spacing w:after="40" w:line="240" w:lineRule="auto"/>
            </w:pPr>
            <w:r/>
            <w:r>
              <w:rPr>
                <w:rFonts w:ascii="Arial" w:hAnsi="Arial"/>
                <w:b/>
                <w:sz w:val="20"/>
              </w:rPr>
              <w:t>q</w:t>
            </w:r>
          </w:p>
        </w:tc>
        <w:tc>
          <w:tcPr>
            <w:tcW w:type="dxa" w:w="1176"/>
          </w:tcPr>
          <w:p>
            <w:pPr>
              <w:spacing w:after="40" w:line="240" w:lineRule="auto"/>
            </w:pPr>
            <w:r/>
            <w:r>
              <w:rPr>
                <w:rFonts w:ascii="Arial" w:hAnsi="Arial"/>
                <w:b/>
                <w:sz w:val="20"/>
              </w:rPr>
              <w:t>r</w:t>
            </w:r>
          </w:p>
        </w:tc>
        <w:tc>
          <w:tcPr>
            <w:tcW w:type="dxa" w:w="1176"/>
          </w:tcPr>
          <w:p>
            <w:pPr>
              <w:spacing w:after="40" w:line="240" w:lineRule="auto"/>
            </w:pPr>
            <w:r/>
            <w:r>
              <w:rPr>
                <w:rFonts w:ascii="Arial" w:hAnsi="Arial"/>
                <w:b/>
                <w:sz w:val="20"/>
              </w:rPr>
              <w:t>Stock seg.</w:t>
            </w:r>
          </w:p>
        </w:tc>
        <w:tc>
          <w:tcPr>
            <w:tcW w:type="dxa" w:w="1176"/>
          </w:tcPr>
          <w:p>
            <w:pPr>
              <w:spacing w:after="40" w:line="240" w:lineRule="auto"/>
            </w:pPr>
            <w:r/>
            <w:r>
              <w:rPr>
                <w:rFonts w:ascii="Arial" w:hAnsi="Arial"/>
                <w:b/>
                <w:sz w:val="20"/>
              </w:rPr>
              <w:t>z</w:t>
            </w:r>
          </w:p>
        </w:tc>
        <w:tc>
          <w:tcPr>
            <w:tcW w:type="dxa" w:w="1176"/>
          </w:tcPr>
          <w:p>
            <w:pPr>
              <w:spacing w:after="40" w:line="240" w:lineRule="auto"/>
            </w:pPr>
            <w:r/>
            <w:r>
              <w:rPr>
                <w:rFonts w:ascii="Arial" w:hAnsi="Arial"/>
                <w:b/>
                <w:sz w:val="20"/>
              </w:rPr>
              <w:t>P(X≥r)</w:t>
            </w:r>
          </w:p>
        </w:tc>
        <w:tc>
          <w:tcPr>
            <w:tcW w:type="dxa" w:w="1176"/>
          </w:tcPr>
          <w:p>
            <w:pPr>
              <w:spacing w:after="40" w:line="240" w:lineRule="auto"/>
            </w:pPr>
            <w:r/>
            <w:r>
              <w:rPr>
                <w:rFonts w:ascii="Arial" w:hAnsi="Arial"/>
                <w:b/>
                <w:sz w:val="20"/>
              </w:rPr>
              <w:t>Pedidos/año</w:t>
            </w:r>
          </w:p>
        </w:tc>
        <w:tc>
          <w:tcPr>
            <w:tcW w:type="dxa" w:w="1176"/>
          </w:tcPr>
          <w:p>
            <w:pPr>
              <w:spacing w:after="40" w:line="240" w:lineRule="auto"/>
            </w:pPr>
            <w:r/>
            <w:r>
              <w:rPr>
                <w:rFonts w:ascii="Arial" w:hAnsi="Arial"/>
                <w:b/>
                <w:sz w:val="20"/>
              </w:rPr>
              <w:t>TC</w:t>
            </w:r>
          </w:p>
        </w:tc>
      </w:tr>
      <w:tr>
        <w:tc>
          <w:tcPr>
            <w:tcW w:type="dxa" w:w="1176"/>
          </w:tcPr>
          <w:p>
            <w:pPr>
              <w:spacing w:after="40" w:line="240" w:lineRule="auto"/>
            </w:pPr>
            <w:r/>
            <w:r>
              <w:rPr>
                <w:rFonts w:ascii="Arial" w:hAnsi="Arial"/>
                <w:sz w:val="20"/>
              </w:rPr>
              <w:t>Motor de Alto Rendimiento V8</w:t>
            </w:r>
          </w:p>
        </w:tc>
        <w:tc>
          <w:tcPr>
            <w:tcW w:type="dxa" w:w="1176"/>
          </w:tcPr>
          <w:p>
            <w:pPr>
              <w:spacing w:after="40" w:line="240" w:lineRule="auto"/>
            </w:pPr>
            <w:r/>
            <w:r>
              <w:rPr>
                <w:rFonts w:ascii="Arial" w:hAnsi="Arial"/>
                <w:sz w:val="20"/>
              </w:rPr>
              <w:t>13,72</w:t>
            </w:r>
          </w:p>
        </w:tc>
        <w:tc>
          <w:tcPr>
            <w:tcW w:type="dxa" w:w="1176"/>
          </w:tcPr>
          <w:p>
            <w:pPr>
              <w:spacing w:after="40" w:line="240" w:lineRule="auto"/>
            </w:pPr>
            <w:r/>
            <w:r>
              <w:rPr>
                <w:rFonts w:ascii="Arial" w:hAnsi="Arial"/>
                <w:sz w:val="20"/>
              </w:rPr>
              <w:t>73,83</w:t>
            </w:r>
          </w:p>
        </w:tc>
        <w:tc>
          <w:tcPr>
            <w:tcW w:type="dxa" w:w="1176"/>
          </w:tcPr>
          <w:p>
            <w:pPr>
              <w:spacing w:after="40" w:line="240" w:lineRule="auto"/>
            </w:pPr>
            <w:r/>
            <w:r>
              <w:rPr>
                <w:rFonts w:ascii="Arial" w:hAnsi="Arial"/>
                <w:sz w:val="20"/>
              </w:rPr>
              <w:t>8,67</w:t>
            </w:r>
          </w:p>
        </w:tc>
        <w:tc>
          <w:tcPr>
            <w:tcW w:type="dxa" w:w="1176"/>
          </w:tcPr>
          <w:p>
            <w:pPr>
              <w:spacing w:after="40" w:line="240" w:lineRule="auto"/>
            </w:pPr>
            <w:r/>
            <w:r>
              <w:rPr>
                <w:rFonts w:ascii="Arial" w:hAnsi="Arial"/>
                <w:sz w:val="20"/>
              </w:rPr>
              <w:t>1,843</w:t>
            </w:r>
          </w:p>
        </w:tc>
        <w:tc>
          <w:tcPr>
            <w:tcW w:type="dxa" w:w="1176"/>
          </w:tcPr>
          <w:p>
            <w:pPr>
              <w:spacing w:after="40" w:line="240" w:lineRule="auto"/>
            </w:pPr>
            <w:r/>
            <w:r>
              <w:rPr>
                <w:rFonts w:ascii="Arial" w:hAnsi="Arial"/>
                <w:sz w:val="20"/>
              </w:rPr>
              <w:t>0,0326</w:t>
            </w:r>
          </w:p>
        </w:tc>
        <w:tc>
          <w:tcPr>
            <w:tcW w:type="dxa" w:w="1176"/>
          </w:tcPr>
          <w:p>
            <w:pPr>
              <w:spacing w:after="40" w:line="240" w:lineRule="auto"/>
            </w:pPr>
            <w:r/>
            <w:r>
              <w:rPr>
                <w:rFonts w:ascii="Arial" w:hAnsi="Arial"/>
                <w:sz w:val="20"/>
              </w:rPr>
              <w:t>41,2</w:t>
            </w:r>
          </w:p>
        </w:tc>
        <w:tc>
          <w:tcPr>
            <w:tcW w:type="dxa" w:w="1176"/>
          </w:tcPr>
          <w:p>
            <w:pPr>
              <w:spacing w:after="40" w:line="240" w:lineRule="auto"/>
            </w:pPr>
            <w:r/>
            <w:r>
              <w:rPr>
                <w:rFonts w:ascii="Arial" w:hAnsi="Arial"/>
                <w:sz w:val="20"/>
              </w:rPr>
              <w:t>43.620</w:t>
            </w:r>
          </w:p>
        </w:tc>
      </w:tr>
      <w:tr>
        <w:tc>
          <w:tcPr>
            <w:tcW w:type="dxa" w:w="1176"/>
          </w:tcPr>
          <w:p>
            <w:pPr>
              <w:spacing w:after="40" w:line="240" w:lineRule="auto"/>
            </w:pPr>
            <w:r/>
            <w:r>
              <w:rPr>
                <w:rFonts w:ascii="Arial" w:hAnsi="Arial"/>
                <w:sz w:val="20"/>
              </w:rPr>
              <w:t>Motor de Cilindros en Línea Raro</w:t>
            </w:r>
          </w:p>
        </w:tc>
        <w:tc>
          <w:tcPr>
            <w:tcW w:type="dxa" w:w="1176"/>
          </w:tcPr>
          <w:p>
            <w:pPr>
              <w:spacing w:after="40" w:line="240" w:lineRule="auto"/>
            </w:pPr>
            <w:r/>
            <w:r>
              <w:rPr>
                <w:rFonts w:ascii="Arial" w:hAnsi="Arial"/>
                <w:sz w:val="20"/>
              </w:rPr>
              <w:t>9,39</w:t>
            </w:r>
          </w:p>
        </w:tc>
        <w:tc>
          <w:tcPr>
            <w:tcW w:type="dxa" w:w="1176"/>
          </w:tcPr>
          <w:p>
            <w:pPr>
              <w:spacing w:after="40" w:line="240" w:lineRule="auto"/>
            </w:pPr>
            <w:r/>
            <w:r>
              <w:rPr>
                <w:rFonts w:ascii="Arial" w:hAnsi="Arial"/>
                <w:sz w:val="20"/>
              </w:rPr>
              <w:t>89,36</w:t>
            </w:r>
          </w:p>
        </w:tc>
        <w:tc>
          <w:tcPr>
            <w:tcW w:type="dxa" w:w="1176"/>
          </w:tcPr>
          <w:p>
            <w:pPr>
              <w:spacing w:after="40" w:line="240" w:lineRule="auto"/>
            </w:pPr>
            <w:r/>
            <w:r>
              <w:rPr>
                <w:rFonts w:ascii="Arial" w:hAnsi="Arial"/>
                <w:sz w:val="20"/>
              </w:rPr>
              <w:t>7,97</w:t>
            </w:r>
          </w:p>
        </w:tc>
        <w:tc>
          <w:tcPr>
            <w:tcW w:type="dxa" w:w="1176"/>
          </w:tcPr>
          <w:p>
            <w:pPr>
              <w:spacing w:after="40" w:line="240" w:lineRule="auto"/>
            </w:pPr>
            <w:r/>
            <w:r>
              <w:rPr>
                <w:rFonts w:ascii="Arial" w:hAnsi="Arial"/>
                <w:sz w:val="20"/>
              </w:rPr>
              <w:t>1,918</w:t>
            </w:r>
          </w:p>
        </w:tc>
        <w:tc>
          <w:tcPr>
            <w:tcW w:type="dxa" w:w="1176"/>
          </w:tcPr>
          <w:p>
            <w:pPr>
              <w:spacing w:after="40" w:line="240" w:lineRule="auto"/>
            </w:pPr>
            <w:r/>
            <w:r>
              <w:rPr>
                <w:rFonts w:ascii="Arial" w:hAnsi="Arial"/>
                <w:sz w:val="20"/>
              </w:rPr>
              <w:t>0,0275</w:t>
            </w:r>
          </w:p>
        </w:tc>
        <w:tc>
          <w:tcPr>
            <w:tcW w:type="dxa" w:w="1176"/>
          </w:tcPr>
          <w:p>
            <w:pPr>
              <w:spacing w:after="40" w:line="240" w:lineRule="auto"/>
            </w:pPr>
            <w:r/>
            <w:r>
              <w:rPr>
                <w:rFonts w:ascii="Arial" w:hAnsi="Arial"/>
                <w:sz w:val="20"/>
              </w:rPr>
              <w:t>37,6</w:t>
            </w:r>
          </w:p>
        </w:tc>
        <w:tc>
          <w:tcPr>
            <w:tcW w:type="dxa" w:w="1176"/>
          </w:tcPr>
          <w:p>
            <w:pPr>
              <w:spacing w:after="40" w:line="240" w:lineRule="auto"/>
            </w:pPr>
            <w:r/>
            <w:r>
              <w:rPr>
                <w:rFonts w:ascii="Arial" w:hAnsi="Arial"/>
                <w:sz w:val="20"/>
              </w:rPr>
              <w:t>45.481</w:t>
            </w:r>
          </w:p>
        </w:tc>
      </w:tr>
      <w:tr>
        <w:tc>
          <w:tcPr>
            <w:tcW w:type="dxa" w:w="1176"/>
          </w:tcPr>
          <w:p>
            <w:pPr>
              <w:spacing w:after="40" w:line="240" w:lineRule="auto"/>
            </w:pPr>
            <w:r/>
            <w:r>
              <w:rPr>
                <w:rFonts w:ascii="Arial" w:hAnsi="Arial"/>
                <w:sz w:val="20"/>
              </w:rPr>
              <w:t>Carrocería Artesanal de Época</w:t>
            </w:r>
          </w:p>
        </w:tc>
        <w:tc>
          <w:tcPr>
            <w:tcW w:type="dxa" w:w="1176"/>
          </w:tcPr>
          <w:p>
            <w:pPr>
              <w:spacing w:after="40" w:line="240" w:lineRule="auto"/>
            </w:pPr>
            <w:r/>
            <w:r>
              <w:rPr>
                <w:rFonts w:ascii="Arial" w:hAnsi="Arial"/>
                <w:sz w:val="20"/>
              </w:rPr>
              <w:t>8,40</w:t>
            </w:r>
          </w:p>
        </w:tc>
        <w:tc>
          <w:tcPr>
            <w:tcW w:type="dxa" w:w="1176"/>
          </w:tcPr>
          <w:p>
            <w:pPr>
              <w:spacing w:after="40" w:line="240" w:lineRule="auto"/>
            </w:pPr>
            <w:r/>
            <w:r>
              <w:rPr>
                <w:rFonts w:ascii="Arial" w:hAnsi="Arial"/>
                <w:sz w:val="20"/>
              </w:rPr>
              <w:t>74,92</w:t>
            </w:r>
          </w:p>
        </w:tc>
        <w:tc>
          <w:tcPr>
            <w:tcW w:type="dxa" w:w="1176"/>
          </w:tcPr>
          <w:p>
            <w:pPr>
              <w:spacing w:after="40" w:line="240" w:lineRule="auto"/>
            </w:pPr>
            <w:r/>
            <w:r>
              <w:rPr>
                <w:rFonts w:ascii="Arial" w:hAnsi="Arial"/>
                <w:sz w:val="20"/>
              </w:rPr>
              <w:t>7,09</w:t>
            </w:r>
          </w:p>
        </w:tc>
        <w:tc>
          <w:tcPr>
            <w:tcW w:type="dxa" w:w="1176"/>
          </w:tcPr>
          <w:p>
            <w:pPr>
              <w:spacing w:after="40" w:line="240" w:lineRule="auto"/>
            </w:pPr>
            <w:r/>
            <w:r>
              <w:rPr>
                <w:rFonts w:ascii="Arial" w:hAnsi="Arial"/>
                <w:sz w:val="20"/>
              </w:rPr>
              <w:t>1,869</w:t>
            </w:r>
          </w:p>
        </w:tc>
        <w:tc>
          <w:tcPr>
            <w:tcW w:type="dxa" w:w="1176"/>
          </w:tcPr>
          <w:p>
            <w:pPr>
              <w:spacing w:after="40" w:line="240" w:lineRule="auto"/>
            </w:pPr>
            <w:r/>
            <w:r>
              <w:rPr>
                <w:rFonts w:ascii="Arial" w:hAnsi="Arial"/>
                <w:sz w:val="20"/>
              </w:rPr>
              <w:t>0,0308</w:t>
            </w:r>
          </w:p>
        </w:tc>
        <w:tc>
          <w:tcPr>
            <w:tcW w:type="dxa" w:w="1176"/>
          </w:tcPr>
          <w:p>
            <w:pPr>
              <w:spacing w:after="40" w:line="240" w:lineRule="auto"/>
            </w:pPr>
            <w:r/>
            <w:r>
              <w:rPr>
                <w:rFonts w:ascii="Arial" w:hAnsi="Arial"/>
                <w:sz w:val="20"/>
              </w:rPr>
              <w:t>42,0</w:t>
            </w:r>
          </w:p>
        </w:tc>
        <w:tc>
          <w:tcPr>
            <w:tcW w:type="dxa" w:w="1176"/>
          </w:tcPr>
          <w:p>
            <w:pPr>
              <w:spacing w:after="40" w:line="240" w:lineRule="auto"/>
            </w:pPr>
            <w:r/>
            <w:r>
              <w:rPr>
                <w:rFonts w:ascii="Arial" w:hAnsi="Arial"/>
                <w:sz w:val="20"/>
              </w:rPr>
              <w:t>50.889</w:t>
            </w:r>
          </w:p>
        </w:tc>
      </w:tr>
      <w:tr>
        <w:tc>
          <w:tcPr>
            <w:tcW w:type="dxa" w:w="1176"/>
          </w:tcPr>
          <w:p>
            <w:pPr>
              <w:spacing w:after="40" w:line="240" w:lineRule="auto"/>
            </w:pPr>
            <w:r/>
            <w:r>
              <w:rPr>
                <w:rFonts w:ascii="Arial" w:hAnsi="Arial"/>
                <w:sz w:val="20"/>
              </w:rPr>
              <w:t>Carrocería Estándar (Fibra)</w:t>
            </w:r>
          </w:p>
        </w:tc>
        <w:tc>
          <w:tcPr>
            <w:tcW w:type="dxa" w:w="1176"/>
          </w:tcPr>
          <w:p>
            <w:pPr>
              <w:spacing w:after="40" w:line="240" w:lineRule="auto"/>
            </w:pPr>
            <w:r/>
            <w:r>
              <w:rPr>
                <w:rFonts w:ascii="Arial" w:hAnsi="Arial"/>
                <w:sz w:val="20"/>
              </w:rPr>
              <w:t>16,14</w:t>
            </w:r>
          </w:p>
        </w:tc>
        <w:tc>
          <w:tcPr>
            <w:tcW w:type="dxa" w:w="1176"/>
          </w:tcPr>
          <w:p>
            <w:pPr>
              <w:spacing w:after="40" w:line="240" w:lineRule="auto"/>
            </w:pPr>
            <w:r/>
            <w:r>
              <w:rPr>
                <w:rFonts w:ascii="Arial" w:hAnsi="Arial"/>
                <w:sz w:val="20"/>
              </w:rPr>
              <w:t>50,79</w:t>
            </w:r>
          </w:p>
        </w:tc>
        <w:tc>
          <w:tcPr>
            <w:tcW w:type="dxa" w:w="1176"/>
          </w:tcPr>
          <w:p>
            <w:pPr>
              <w:spacing w:after="40" w:line="240" w:lineRule="auto"/>
            </w:pPr>
            <w:r/>
            <w:r>
              <w:rPr>
                <w:rFonts w:ascii="Arial" w:hAnsi="Arial"/>
                <w:sz w:val="20"/>
              </w:rPr>
              <w:t>7,36</w:t>
            </w:r>
          </w:p>
        </w:tc>
        <w:tc>
          <w:tcPr>
            <w:tcW w:type="dxa" w:w="1176"/>
          </w:tcPr>
          <w:p>
            <w:pPr>
              <w:spacing w:after="40" w:line="240" w:lineRule="auto"/>
            </w:pPr>
            <w:r/>
            <w:r>
              <w:rPr>
                <w:rFonts w:ascii="Arial" w:hAnsi="Arial"/>
                <w:sz w:val="20"/>
              </w:rPr>
              <w:t>1,915</w:t>
            </w:r>
          </w:p>
        </w:tc>
        <w:tc>
          <w:tcPr>
            <w:tcW w:type="dxa" w:w="1176"/>
          </w:tcPr>
          <w:p>
            <w:pPr>
              <w:spacing w:after="40" w:line="240" w:lineRule="auto"/>
            </w:pPr>
            <w:r/>
            <w:r>
              <w:rPr>
                <w:rFonts w:ascii="Arial" w:hAnsi="Arial"/>
                <w:sz w:val="20"/>
              </w:rPr>
              <w:t>0,0277</w:t>
            </w:r>
          </w:p>
        </w:tc>
        <w:tc>
          <w:tcPr>
            <w:tcW w:type="dxa" w:w="1176"/>
          </w:tcPr>
          <w:p>
            <w:pPr>
              <w:spacing w:after="40" w:line="240" w:lineRule="auto"/>
            </w:pPr>
            <w:r/>
            <w:r>
              <w:rPr>
                <w:rFonts w:ascii="Arial" w:hAnsi="Arial"/>
                <w:sz w:val="20"/>
              </w:rPr>
              <w:t>35,0</w:t>
            </w:r>
          </w:p>
        </w:tc>
        <w:tc>
          <w:tcPr>
            <w:tcW w:type="dxa" w:w="1176"/>
          </w:tcPr>
          <w:p>
            <w:pPr>
              <w:spacing w:after="40" w:line="240" w:lineRule="auto"/>
            </w:pPr>
            <w:r/>
            <w:r>
              <w:rPr>
                <w:rFonts w:ascii="Arial" w:hAnsi="Arial"/>
                <w:sz w:val="20"/>
              </w:rPr>
              <w:t>32.462</w:t>
            </w:r>
          </w:p>
        </w:tc>
      </w:tr>
      <w:tr>
        <w:tc>
          <w:tcPr>
            <w:tcW w:type="dxa" w:w="1176"/>
          </w:tcPr>
          <w:p>
            <w:pPr>
              <w:spacing w:after="40" w:line="240" w:lineRule="auto"/>
            </w:pPr>
            <w:r/>
            <w:r>
              <w:rPr>
                <w:rFonts w:ascii="Arial" w:hAnsi="Arial"/>
                <w:sz w:val="20"/>
              </w:rPr>
              <w:t>Tapicería de Cuero Premium</w:t>
            </w:r>
          </w:p>
        </w:tc>
        <w:tc>
          <w:tcPr>
            <w:tcW w:type="dxa" w:w="1176"/>
          </w:tcPr>
          <w:p>
            <w:pPr>
              <w:spacing w:after="40" w:line="240" w:lineRule="auto"/>
            </w:pPr>
            <w:r/>
            <w:r>
              <w:rPr>
                <w:rFonts w:ascii="Arial" w:hAnsi="Arial"/>
                <w:sz w:val="20"/>
              </w:rPr>
              <w:t>26,23</w:t>
            </w:r>
          </w:p>
        </w:tc>
        <w:tc>
          <w:tcPr>
            <w:tcW w:type="dxa" w:w="1176"/>
          </w:tcPr>
          <w:p>
            <w:pPr>
              <w:spacing w:after="40" w:line="240" w:lineRule="auto"/>
            </w:pPr>
            <w:r/>
            <w:r>
              <w:rPr>
                <w:rFonts w:ascii="Arial" w:hAnsi="Arial"/>
                <w:sz w:val="20"/>
              </w:rPr>
              <w:t>160,69</w:t>
            </w:r>
          </w:p>
        </w:tc>
        <w:tc>
          <w:tcPr>
            <w:tcW w:type="dxa" w:w="1176"/>
          </w:tcPr>
          <w:p>
            <w:pPr>
              <w:spacing w:after="40" w:line="240" w:lineRule="auto"/>
            </w:pPr>
            <w:r/>
            <w:r>
              <w:rPr>
                <w:rFonts w:ascii="Arial" w:hAnsi="Arial"/>
                <w:sz w:val="20"/>
              </w:rPr>
              <w:t>19,56</w:t>
            </w:r>
          </w:p>
        </w:tc>
        <w:tc>
          <w:tcPr>
            <w:tcW w:type="dxa" w:w="1176"/>
          </w:tcPr>
          <w:p>
            <w:pPr>
              <w:spacing w:after="40" w:line="240" w:lineRule="auto"/>
            </w:pPr>
            <w:r/>
            <w:r>
              <w:rPr>
                <w:rFonts w:ascii="Arial" w:hAnsi="Arial"/>
                <w:sz w:val="20"/>
              </w:rPr>
              <w:t>2,217</w:t>
            </w:r>
          </w:p>
        </w:tc>
        <w:tc>
          <w:tcPr>
            <w:tcW w:type="dxa" w:w="1176"/>
          </w:tcPr>
          <w:p>
            <w:pPr>
              <w:spacing w:after="40" w:line="240" w:lineRule="auto"/>
            </w:pPr>
            <w:r/>
            <w:r>
              <w:rPr>
                <w:rFonts w:ascii="Arial" w:hAnsi="Arial"/>
                <w:sz w:val="20"/>
              </w:rPr>
              <w:t>0,0133</w:t>
            </w:r>
          </w:p>
        </w:tc>
        <w:tc>
          <w:tcPr>
            <w:tcW w:type="dxa" w:w="1176"/>
          </w:tcPr>
          <w:p>
            <w:pPr>
              <w:spacing w:after="40" w:line="240" w:lineRule="auto"/>
            </w:pPr>
            <w:r/>
            <w:r>
              <w:rPr>
                <w:rFonts w:ascii="Arial" w:hAnsi="Arial"/>
                <w:sz w:val="20"/>
              </w:rPr>
              <w:t>35,0</w:t>
            </w:r>
          </w:p>
        </w:tc>
        <w:tc>
          <w:tcPr>
            <w:tcW w:type="dxa" w:w="1176"/>
          </w:tcPr>
          <w:p>
            <w:pPr>
              <w:spacing w:after="40" w:line="240" w:lineRule="auto"/>
            </w:pPr>
            <w:r/>
            <w:r>
              <w:rPr>
                <w:rFonts w:ascii="Arial" w:hAnsi="Arial"/>
                <w:sz w:val="20"/>
              </w:rPr>
              <w:t>39.101</w:t>
            </w:r>
          </w:p>
        </w:tc>
      </w:tr>
      <w:tr>
        <w:tc>
          <w:tcPr>
            <w:tcW w:type="dxa" w:w="1176"/>
          </w:tcPr>
          <w:p>
            <w:pPr>
              <w:spacing w:after="40" w:line="240" w:lineRule="auto"/>
            </w:pPr>
            <w:r/>
            <w:r>
              <w:rPr>
                <w:rFonts w:ascii="Arial" w:hAnsi="Arial"/>
                <w:b/>
                <w:sz w:val="20"/>
              </w:rPr>
              <w:t>TOTAL</w:t>
            </w:r>
          </w:p>
        </w:tc>
        <w:tc>
          <w:tcPr>
            <w:tcW w:type="dxa" w:w="1176"/>
          </w:tcPr>
          <w:p>
            <w:pPr>
              <w:spacing w:after="40" w:line="240" w:lineRule="auto"/>
            </w:pPr>
            <w:r/>
          </w:p>
        </w:tc>
        <w:tc>
          <w:tcPr>
            <w:tcW w:type="dxa" w:w="1176"/>
          </w:tcPr>
          <w:p>
            <w:pPr>
              <w:spacing w:after="40" w:line="240" w:lineRule="auto"/>
            </w:pPr>
            <w:r/>
          </w:p>
        </w:tc>
        <w:tc>
          <w:tcPr>
            <w:tcW w:type="dxa" w:w="1176"/>
          </w:tcPr>
          <w:p>
            <w:pPr>
              <w:spacing w:after="40" w:line="240" w:lineRule="auto"/>
            </w:pPr>
            <w:r/>
            <w:r>
              <w:rPr>
                <w:rFonts w:ascii="Arial" w:hAnsi="Arial"/>
                <w:b/>
                <w:sz w:val="20"/>
              </w:rPr>
              <w:t>50,65</w:t>
            </w:r>
          </w:p>
        </w:tc>
        <w:tc>
          <w:tcPr>
            <w:tcW w:type="dxa" w:w="1176"/>
          </w:tcPr>
          <w:p>
            <w:pPr>
              <w:spacing w:after="40" w:line="240" w:lineRule="auto"/>
            </w:pPr>
            <w:r/>
          </w:p>
        </w:tc>
        <w:tc>
          <w:tcPr>
            <w:tcW w:type="dxa" w:w="1176"/>
          </w:tcPr>
          <w:p>
            <w:pPr>
              <w:spacing w:after="40" w:line="240" w:lineRule="auto"/>
            </w:pPr>
            <w:r/>
          </w:p>
        </w:tc>
        <w:tc>
          <w:tcPr>
            <w:tcW w:type="dxa" w:w="1176"/>
          </w:tcPr>
          <w:p>
            <w:pPr>
              <w:spacing w:after="40" w:line="240" w:lineRule="auto"/>
            </w:pPr>
            <w:r/>
          </w:p>
        </w:tc>
        <w:tc>
          <w:tcPr>
            <w:tcW w:type="dxa" w:w="1176"/>
          </w:tcPr>
          <w:p>
            <w:pPr>
              <w:spacing w:after="40" w:line="240" w:lineRule="auto"/>
            </w:pPr>
            <w:r/>
            <w:r>
              <w:rPr>
                <w:rFonts w:ascii="Arial" w:hAnsi="Arial"/>
                <w:b/>
                <w:sz w:val="20"/>
              </w:rPr>
              <w:t>USD 211.553</w:t>
            </w:r>
          </w:p>
        </w:tc>
      </w:tr>
    </w:tbl>
    <w:p/>
    <w:p>
      <w:pPr>
        <w:keepNext/>
        <w:spacing w:before="360" w:after="120"/>
      </w:pPr>
      <w:r>
        <w:rPr>
          <w:rFonts w:ascii="Arial" w:hAnsi="Arial"/>
          <w:b/>
          <w:sz w:val="32"/>
        </w:rPr>
        <w:t>¿Está bien aproximar q por el EOQ?</w:t>
      </w:r>
    </w:p>
    <w:p>
      <w:r>
        <w:rPr>
          <w:rFonts w:ascii="Arial" w:hAnsi="Arial"/>
          <w:sz w:val="22"/>
        </w:rPr>
        <w:t xml:space="preserve">Winston aproxima la cantidad óptima por el EOQ en lugar de resolver el sistema completo, y en una nota al pie de la página 893 cita a Brown (1967): la aproximación es aceptable </w:t>
      </w:r>
      <w:r>
        <w:rPr>
          <w:rFonts w:ascii="Arial" w:hAnsi="Arial"/>
          <w:b/>
          <w:sz w:val="22"/>
        </w:rPr>
        <w:t>salvo que el EOQ sea menor o igual a σ_X</w:t>
      </w:r>
      <w:r>
        <w:rPr>
          <w:rFonts w:ascii="Arial" w:hAnsi="Arial"/>
          <w:sz w:val="22"/>
        </w:rPr>
        <w:t>.</w:t>
      </w:r>
    </w:p>
    <w:p>
      <w:r>
        <w:rPr>
          <w:rFonts w:ascii="Arial" w:hAnsi="Arial"/>
          <w:sz w:val="22"/>
        </w:rPr>
        <w:t xml:space="preserve">Como la advertencia está explícita en el libro, nos pareció que correspondía verificarla en vez de darla por buena. Resolvimos entonces el sistema exacto por iteración: se arranca del EOQ, se calcula el </w:t>
      </w:r>
      <w:r>
        <w:rPr>
          <w:rFonts w:ascii="Arial" w:hAnsi="Arial"/>
          <w:i/>
          <w:sz w:val="22"/>
        </w:rPr>
        <w:t>r</w:t>
      </w:r>
      <w:r>
        <w:rPr>
          <w:rFonts w:ascii="Arial" w:hAnsi="Arial"/>
          <w:sz w:val="22"/>
        </w:rPr>
        <w:t xml:space="preserve"> que corresponde, con ese </w:t>
      </w:r>
      <w:r>
        <w:rPr>
          <w:rFonts w:ascii="Arial" w:hAnsi="Arial"/>
          <w:i/>
          <w:sz w:val="22"/>
        </w:rPr>
        <w:t>r</w:t>
      </w:r>
      <w:r>
        <w:rPr>
          <w:rFonts w:ascii="Arial" w:hAnsi="Arial"/>
          <w:sz w:val="22"/>
        </w:rPr>
        <w:t xml:space="preserve"> se recalcula </w:t>
      </w:r>
      <w:r>
        <w:rPr>
          <w:rFonts w:ascii="Arial" w:hAnsi="Arial"/>
          <w:i/>
          <w:sz w:val="22"/>
        </w:rPr>
        <w:t>q</w:t>
      </w:r>
      <w:r>
        <w:rPr>
          <w:rFonts w:ascii="Arial" w:hAnsi="Arial"/>
          <w:sz w:val="22"/>
        </w:rPr>
        <w:t xml:space="preserve"> incorporando el déficit esperado, y se repite hasta que deja de moverse. Converge entre 10 y 12 vueltas según el insumo.</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76"/>
        <w:gridCol w:w="1176"/>
        <w:gridCol w:w="1176"/>
        <w:gridCol w:w="1176"/>
        <w:gridCol w:w="1176"/>
        <w:gridCol w:w="1176"/>
        <w:gridCol w:w="1176"/>
        <w:gridCol w:w="1176"/>
      </w:tblGrid>
      <w:tr>
        <w:tc>
          <w:tcPr>
            <w:tcW w:type="dxa" w:w="1176"/>
          </w:tcPr>
          <w:p>
            <w:pPr>
              <w:spacing w:after="40" w:line="240" w:lineRule="auto"/>
            </w:pPr>
            <w:r/>
            <w:r>
              <w:rPr>
                <w:rFonts w:ascii="Arial" w:hAnsi="Arial"/>
                <w:b/>
                <w:sz w:val="20"/>
              </w:rPr>
              <w:t>Insumo</w:t>
            </w:r>
          </w:p>
        </w:tc>
        <w:tc>
          <w:tcPr>
            <w:tcW w:type="dxa" w:w="1176"/>
          </w:tcPr>
          <w:p>
            <w:pPr>
              <w:spacing w:after="40" w:line="240" w:lineRule="auto"/>
            </w:pPr>
            <w:r/>
            <w:r>
              <w:rPr>
                <w:rFonts w:ascii="Arial" w:hAnsi="Arial"/>
                <w:b/>
                <w:sz w:val="20"/>
              </w:rPr>
              <w:t>σ_X</w:t>
            </w:r>
          </w:p>
        </w:tc>
        <w:tc>
          <w:tcPr>
            <w:tcW w:type="dxa" w:w="1176"/>
          </w:tcPr>
          <w:p>
            <w:pPr>
              <w:spacing w:after="40" w:line="240" w:lineRule="auto"/>
            </w:pPr>
            <w:r/>
            <w:r>
              <w:rPr>
                <w:rFonts w:ascii="Arial" w:hAnsi="Arial"/>
                <w:b/>
                <w:sz w:val="20"/>
              </w:rPr>
              <w:t>q (EOQ)</w:t>
            </w:r>
          </w:p>
        </w:tc>
        <w:tc>
          <w:tcPr>
            <w:tcW w:type="dxa" w:w="1176"/>
          </w:tcPr>
          <w:p>
            <w:pPr>
              <w:spacing w:after="40" w:line="240" w:lineRule="auto"/>
            </w:pPr>
            <w:r/>
            <w:r>
              <w:rPr>
                <w:rFonts w:ascii="Arial" w:hAnsi="Arial"/>
                <w:b/>
                <w:sz w:val="20"/>
              </w:rPr>
              <w:t>q exacto</w:t>
            </w:r>
          </w:p>
        </w:tc>
        <w:tc>
          <w:tcPr>
            <w:tcW w:type="dxa" w:w="1176"/>
          </w:tcPr>
          <w:p>
            <w:pPr>
              <w:spacing w:after="40" w:line="240" w:lineRule="auto"/>
            </w:pPr>
            <w:r/>
            <w:r>
              <w:rPr>
                <w:rFonts w:ascii="Arial" w:hAnsi="Arial"/>
                <w:b/>
                <w:sz w:val="20"/>
              </w:rPr>
              <w:t>Dif.</w:t>
            </w:r>
          </w:p>
        </w:tc>
        <w:tc>
          <w:tcPr>
            <w:tcW w:type="dxa" w:w="1176"/>
          </w:tcPr>
          <w:p>
            <w:pPr>
              <w:spacing w:after="40" w:line="240" w:lineRule="auto"/>
            </w:pPr>
            <w:r/>
            <w:r>
              <w:rPr>
                <w:rFonts w:ascii="Arial" w:hAnsi="Arial"/>
                <w:b/>
                <w:sz w:val="20"/>
              </w:rPr>
              <w:t>TC (EOQ)</w:t>
            </w:r>
          </w:p>
        </w:tc>
        <w:tc>
          <w:tcPr>
            <w:tcW w:type="dxa" w:w="1176"/>
          </w:tcPr>
          <w:p>
            <w:pPr>
              <w:spacing w:after="40" w:line="240" w:lineRule="auto"/>
            </w:pPr>
            <w:r/>
            <w:r>
              <w:rPr>
                <w:rFonts w:ascii="Arial" w:hAnsi="Arial"/>
                <w:b/>
                <w:sz w:val="20"/>
              </w:rPr>
              <w:t>TC exacto</w:t>
            </w:r>
          </w:p>
        </w:tc>
        <w:tc>
          <w:tcPr>
            <w:tcW w:type="dxa" w:w="1176"/>
          </w:tcPr>
          <w:p>
            <w:pPr>
              <w:spacing w:after="40" w:line="240" w:lineRule="auto"/>
            </w:pPr>
            <w:r/>
            <w:r>
              <w:rPr>
                <w:rFonts w:ascii="Arial" w:hAnsi="Arial"/>
                <w:b/>
                <w:sz w:val="20"/>
              </w:rPr>
              <w:t>Dif.</w:t>
            </w:r>
          </w:p>
        </w:tc>
      </w:tr>
      <w:tr>
        <w:tc>
          <w:tcPr>
            <w:tcW w:type="dxa" w:w="1176"/>
          </w:tcPr>
          <w:p>
            <w:pPr>
              <w:spacing w:after="40" w:line="240" w:lineRule="auto"/>
            </w:pPr>
            <w:r/>
            <w:r>
              <w:rPr>
                <w:rFonts w:ascii="Arial" w:hAnsi="Arial"/>
                <w:sz w:val="20"/>
              </w:rPr>
              <w:t>Motor V8</w:t>
            </w:r>
          </w:p>
        </w:tc>
        <w:tc>
          <w:tcPr>
            <w:tcW w:type="dxa" w:w="1176"/>
          </w:tcPr>
          <w:p>
            <w:pPr>
              <w:spacing w:after="40" w:line="240" w:lineRule="auto"/>
            </w:pPr>
            <w:r/>
            <w:r>
              <w:rPr>
                <w:rFonts w:ascii="Arial" w:hAnsi="Arial"/>
                <w:sz w:val="20"/>
              </w:rPr>
              <w:t>4,70</w:t>
            </w:r>
          </w:p>
        </w:tc>
        <w:tc>
          <w:tcPr>
            <w:tcW w:type="dxa" w:w="1176"/>
          </w:tcPr>
          <w:p>
            <w:pPr>
              <w:spacing w:after="40" w:line="240" w:lineRule="auto"/>
            </w:pPr>
            <w:r/>
            <w:r>
              <w:rPr>
                <w:rFonts w:ascii="Arial" w:hAnsi="Arial"/>
                <w:sz w:val="20"/>
              </w:rPr>
              <w:t>13,72</w:t>
            </w:r>
          </w:p>
        </w:tc>
        <w:tc>
          <w:tcPr>
            <w:tcW w:type="dxa" w:w="1176"/>
          </w:tcPr>
          <w:p>
            <w:pPr>
              <w:spacing w:after="40" w:line="240" w:lineRule="auto"/>
            </w:pPr>
            <w:r/>
            <w:r>
              <w:rPr>
                <w:rFonts w:ascii="Arial" w:hAnsi="Arial"/>
                <w:sz w:val="20"/>
              </w:rPr>
              <w:t>15,73</w:t>
            </w:r>
          </w:p>
        </w:tc>
        <w:tc>
          <w:tcPr>
            <w:tcW w:type="dxa" w:w="1176"/>
          </w:tcPr>
          <w:p>
            <w:pPr>
              <w:spacing w:after="40" w:line="240" w:lineRule="auto"/>
            </w:pPr>
            <w:r/>
            <w:r>
              <w:rPr>
                <w:rFonts w:ascii="Arial" w:hAnsi="Arial"/>
                <w:sz w:val="20"/>
              </w:rPr>
              <w:t>+14,6%</w:t>
            </w:r>
          </w:p>
        </w:tc>
        <w:tc>
          <w:tcPr>
            <w:tcW w:type="dxa" w:w="1176"/>
          </w:tcPr>
          <w:p>
            <w:pPr>
              <w:spacing w:after="40" w:line="240" w:lineRule="auto"/>
            </w:pPr>
            <w:r/>
            <w:r>
              <w:rPr>
                <w:rFonts w:ascii="Arial" w:hAnsi="Arial"/>
                <w:sz w:val="20"/>
              </w:rPr>
              <w:t>43.620</w:t>
            </w:r>
          </w:p>
        </w:tc>
        <w:tc>
          <w:tcPr>
            <w:tcW w:type="dxa" w:w="1176"/>
          </w:tcPr>
          <w:p>
            <w:pPr>
              <w:spacing w:after="40" w:line="240" w:lineRule="auto"/>
            </w:pPr>
            <w:r/>
            <w:r>
              <w:rPr>
                <w:rFonts w:ascii="Arial" w:hAnsi="Arial"/>
                <w:sz w:val="20"/>
              </w:rPr>
              <w:t>43.393</w:t>
            </w:r>
          </w:p>
        </w:tc>
        <w:tc>
          <w:tcPr>
            <w:tcW w:type="dxa" w:w="1176"/>
          </w:tcPr>
          <w:p>
            <w:pPr>
              <w:spacing w:after="40" w:line="240" w:lineRule="auto"/>
            </w:pPr>
            <w:r/>
            <w:r>
              <w:rPr>
                <w:rFonts w:ascii="Arial" w:hAnsi="Arial"/>
                <w:sz w:val="20"/>
              </w:rPr>
              <w:t>−0,52%</w:t>
            </w:r>
          </w:p>
        </w:tc>
      </w:tr>
      <w:tr>
        <w:tc>
          <w:tcPr>
            <w:tcW w:type="dxa" w:w="1176"/>
          </w:tcPr>
          <w:p>
            <w:pPr>
              <w:spacing w:after="40" w:line="240" w:lineRule="auto"/>
            </w:pPr>
            <w:r/>
            <w:r>
              <w:rPr>
                <w:rFonts w:ascii="Arial" w:hAnsi="Arial"/>
                <w:sz w:val="20"/>
              </w:rPr>
              <w:t>Motor Raro</w:t>
            </w:r>
          </w:p>
        </w:tc>
        <w:tc>
          <w:tcPr>
            <w:tcW w:type="dxa" w:w="1176"/>
          </w:tcPr>
          <w:p>
            <w:pPr>
              <w:spacing w:after="40" w:line="240" w:lineRule="auto"/>
            </w:pPr>
            <w:r/>
            <w:r>
              <w:rPr>
                <w:rFonts w:ascii="Arial" w:hAnsi="Arial"/>
                <w:sz w:val="20"/>
              </w:rPr>
              <w:t>4,15</w:t>
            </w:r>
          </w:p>
        </w:tc>
        <w:tc>
          <w:tcPr>
            <w:tcW w:type="dxa" w:w="1176"/>
          </w:tcPr>
          <w:p>
            <w:pPr>
              <w:spacing w:after="40" w:line="240" w:lineRule="auto"/>
            </w:pPr>
            <w:r/>
            <w:r>
              <w:rPr>
                <w:rFonts w:ascii="Arial" w:hAnsi="Arial"/>
                <w:sz w:val="20"/>
              </w:rPr>
              <w:t>9,39</w:t>
            </w:r>
          </w:p>
        </w:tc>
        <w:tc>
          <w:tcPr>
            <w:tcW w:type="dxa" w:w="1176"/>
          </w:tcPr>
          <w:p>
            <w:pPr>
              <w:spacing w:after="40" w:line="240" w:lineRule="auto"/>
            </w:pPr>
            <w:r/>
            <w:r>
              <w:rPr>
                <w:rFonts w:ascii="Arial" w:hAnsi="Arial"/>
                <w:sz w:val="20"/>
              </w:rPr>
              <w:t>11,16</w:t>
            </w:r>
          </w:p>
        </w:tc>
        <w:tc>
          <w:tcPr>
            <w:tcW w:type="dxa" w:w="1176"/>
          </w:tcPr>
          <w:p>
            <w:pPr>
              <w:spacing w:after="40" w:line="240" w:lineRule="auto"/>
            </w:pPr>
            <w:r/>
            <w:r>
              <w:rPr>
                <w:rFonts w:ascii="Arial" w:hAnsi="Arial"/>
                <w:sz w:val="20"/>
              </w:rPr>
              <w:t>+18,8%</w:t>
            </w:r>
          </w:p>
        </w:tc>
        <w:tc>
          <w:tcPr>
            <w:tcW w:type="dxa" w:w="1176"/>
          </w:tcPr>
          <w:p>
            <w:pPr>
              <w:spacing w:after="40" w:line="240" w:lineRule="auto"/>
            </w:pPr>
            <w:r/>
            <w:r>
              <w:rPr>
                <w:rFonts w:ascii="Arial" w:hAnsi="Arial"/>
                <w:sz w:val="20"/>
              </w:rPr>
              <w:t>45.481</w:t>
            </w:r>
          </w:p>
        </w:tc>
        <w:tc>
          <w:tcPr>
            <w:tcW w:type="dxa" w:w="1176"/>
          </w:tcPr>
          <w:p>
            <w:pPr>
              <w:spacing w:after="40" w:line="240" w:lineRule="auto"/>
            </w:pPr>
            <w:r/>
            <w:r>
              <w:rPr>
                <w:rFonts w:ascii="Arial" w:hAnsi="Arial"/>
                <w:sz w:val="20"/>
              </w:rPr>
              <w:t>45.151</w:t>
            </w:r>
          </w:p>
        </w:tc>
        <w:tc>
          <w:tcPr>
            <w:tcW w:type="dxa" w:w="1176"/>
          </w:tcPr>
          <w:p>
            <w:pPr>
              <w:spacing w:after="40" w:line="240" w:lineRule="auto"/>
            </w:pPr>
            <w:r/>
            <w:r>
              <w:rPr>
                <w:rFonts w:ascii="Arial" w:hAnsi="Arial"/>
                <w:sz w:val="20"/>
              </w:rPr>
              <w:t>−0,73%</w:t>
            </w:r>
          </w:p>
        </w:tc>
      </w:tr>
      <w:tr>
        <w:tc>
          <w:tcPr>
            <w:tcW w:type="dxa" w:w="1176"/>
          </w:tcPr>
          <w:p>
            <w:pPr>
              <w:spacing w:after="40" w:line="240" w:lineRule="auto"/>
            </w:pPr>
            <w:r/>
            <w:r>
              <w:rPr>
                <w:rFonts w:ascii="Arial" w:hAnsi="Arial"/>
                <w:sz w:val="20"/>
              </w:rPr>
              <w:t>Carrocería Artesanal</w:t>
            </w:r>
          </w:p>
        </w:tc>
        <w:tc>
          <w:tcPr>
            <w:tcW w:type="dxa" w:w="1176"/>
          </w:tcPr>
          <w:p>
            <w:pPr>
              <w:spacing w:after="40" w:line="240" w:lineRule="auto"/>
            </w:pPr>
            <w:r/>
            <w:r>
              <w:rPr>
                <w:rFonts w:ascii="Arial" w:hAnsi="Arial"/>
                <w:sz w:val="20"/>
              </w:rPr>
              <w:t>3,79</w:t>
            </w:r>
          </w:p>
        </w:tc>
        <w:tc>
          <w:tcPr>
            <w:tcW w:type="dxa" w:w="1176"/>
          </w:tcPr>
          <w:p>
            <w:pPr>
              <w:spacing w:after="40" w:line="240" w:lineRule="auto"/>
            </w:pPr>
            <w:r/>
            <w:r>
              <w:rPr>
                <w:rFonts w:ascii="Arial" w:hAnsi="Arial"/>
                <w:sz w:val="20"/>
              </w:rPr>
              <w:t>8,40</w:t>
            </w:r>
          </w:p>
        </w:tc>
        <w:tc>
          <w:tcPr>
            <w:tcW w:type="dxa" w:w="1176"/>
          </w:tcPr>
          <w:p>
            <w:pPr>
              <w:spacing w:after="40" w:line="240" w:lineRule="auto"/>
            </w:pPr>
            <w:r/>
            <w:r>
              <w:rPr>
                <w:rFonts w:ascii="Arial" w:hAnsi="Arial"/>
                <w:sz w:val="20"/>
              </w:rPr>
              <w:t>10,05</w:t>
            </w:r>
          </w:p>
        </w:tc>
        <w:tc>
          <w:tcPr>
            <w:tcW w:type="dxa" w:w="1176"/>
          </w:tcPr>
          <w:p>
            <w:pPr>
              <w:spacing w:after="40" w:line="240" w:lineRule="auto"/>
            </w:pPr>
            <w:r/>
            <w:r>
              <w:rPr>
                <w:rFonts w:ascii="Arial" w:hAnsi="Arial"/>
                <w:sz w:val="20"/>
              </w:rPr>
              <w:t>+19,6%</w:t>
            </w:r>
          </w:p>
        </w:tc>
        <w:tc>
          <w:tcPr>
            <w:tcW w:type="dxa" w:w="1176"/>
          </w:tcPr>
          <w:p>
            <w:pPr>
              <w:spacing w:after="40" w:line="240" w:lineRule="auto"/>
            </w:pPr>
            <w:r/>
            <w:r>
              <w:rPr>
                <w:rFonts w:ascii="Arial" w:hAnsi="Arial"/>
                <w:sz w:val="20"/>
              </w:rPr>
              <w:t>50.889</w:t>
            </w:r>
          </w:p>
        </w:tc>
        <w:tc>
          <w:tcPr>
            <w:tcW w:type="dxa" w:w="1176"/>
          </w:tcPr>
          <w:p>
            <w:pPr>
              <w:spacing w:after="40" w:line="240" w:lineRule="auto"/>
            </w:pPr>
            <w:r/>
            <w:r>
              <w:rPr>
                <w:rFonts w:ascii="Arial" w:hAnsi="Arial"/>
                <w:sz w:val="20"/>
              </w:rPr>
              <w:t>50.492</w:t>
            </w:r>
          </w:p>
        </w:tc>
        <w:tc>
          <w:tcPr>
            <w:tcW w:type="dxa" w:w="1176"/>
          </w:tcPr>
          <w:p>
            <w:pPr>
              <w:spacing w:after="40" w:line="240" w:lineRule="auto"/>
            </w:pPr>
            <w:r/>
            <w:r>
              <w:rPr>
                <w:rFonts w:ascii="Arial" w:hAnsi="Arial"/>
                <w:sz w:val="20"/>
              </w:rPr>
              <w:t>−0,78%</w:t>
            </w:r>
          </w:p>
        </w:tc>
      </w:tr>
      <w:tr>
        <w:tc>
          <w:tcPr>
            <w:tcW w:type="dxa" w:w="1176"/>
          </w:tcPr>
          <w:p>
            <w:pPr>
              <w:spacing w:after="40" w:line="240" w:lineRule="auto"/>
            </w:pPr>
            <w:r/>
            <w:r>
              <w:rPr>
                <w:rFonts w:ascii="Arial" w:hAnsi="Arial"/>
                <w:sz w:val="20"/>
              </w:rPr>
              <w:t>Carrocería Estándar</w:t>
            </w:r>
          </w:p>
        </w:tc>
        <w:tc>
          <w:tcPr>
            <w:tcW w:type="dxa" w:w="1176"/>
          </w:tcPr>
          <w:p>
            <w:pPr>
              <w:spacing w:after="40" w:line="240" w:lineRule="auto"/>
            </w:pPr>
            <w:r/>
            <w:r>
              <w:rPr>
                <w:rFonts w:ascii="Arial" w:hAnsi="Arial"/>
                <w:sz w:val="20"/>
              </w:rPr>
              <w:t>3,84</w:t>
            </w:r>
          </w:p>
        </w:tc>
        <w:tc>
          <w:tcPr>
            <w:tcW w:type="dxa" w:w="1176"/>
          </w:tcPr>
          <w:p>
            <w:pPr>
              <w:spacing w:after="40" w:line="240" w:lineRule="auto"/>
            </w:pPr>
            <w:r/>
            <w:r>
              <w:rPr>
                <w:rFonts w:ascii="Arial" w:hAnsi="Arial"/>
                <w:sz w:val="20"/>
              </w:rPr>
              <w:t>16,14</w:t>
            </w:r>
          </w:p>
        </w:tc>
        <w:tc>
          <w:tcPr>
            <w:tcW w:type="dxa" w:w="1176"/>
          </w:tcPr>
          <w:p>
            <w:pPr>
              <w:spacing w:after="40" w:line="240" w:lineRule="auto"/>
            </w:pPr>
            <w:r/>
            <w:r>
              <w:rPr>
                <w:rFonts w:ascii="Arial" w:hAnsi="Arial"/>
                <w:sz w:val="20"/>
              </w:rPr>
              <w:t>17,70</w:t>
            </w:r>
          </w:p>
        </w:tc>
        <w:tc>
          <w:tcPr>
            <w:tcW w:type="dxa" w:w="1176"/>
          </w:tcPr>
          <w:p>
            <w:pPr>
              <w:spacing w:after="40" w:line="240" w:lineRule="auto"/>
            </w:pPr>
            <w:r/>
            <w:r>
              <w:rPr>
                <w:rFonts w:ascii="Arial" w:hAnsi="Arial"/>
                <w:sz w:val="20"/>
              </w:rPr>
              <w:t>+9,7%</w:t>
            </w:r>
          </w:p>
        </w:tc>
        <w:tc>
          <w:tcPr>
            <w:tcW w:type="dxa" w:w="1176"/>
          </w:tcPr>
          <w:p>
            <w:pPr>
              <w:spacing w:after="40" w:line="240" w:lineRule="auto"/>
            </w:pPr>
            <w:r/>
            <w:r>
              <w:rPr>
                <w:rFonts w:ascii="Arial" w:hAnsi="Arial"/>
                <w:sz w:val="20"/>
              </w:rPr>
              <w:t>32.462</w:t>
            </w:r>
          </w:p>
        </w:tc>
        <w:tc>
          <w:tcPr>
            <w:tcW w:type="dxa" w:w="1176"/>
          </w:tcPr>
          <w:p>
            <w:pPr>
              <w:spacing w:after="40" w:line="240" w:lineRule="auto"/>
            </w:pPr>
            <w:r/>
            <w:r>
              <w:rPr>
                <w:rFonts w:ascii="Arial" w:hAnsi="Arial"/>
                <w:sz w:val="20"/>
              </w:rPr>
              <w:t>32.373</w:t>
            </w:r>
          </w:p>
        </w:tc>
        <w:tc>
          <w:tcPr>
            <w:tcW w:type="dxa" w:w="1176"/>
          </w:tcPr>
          <w:p>
            <w:pPr>
              <w:spacing w:after="40" w:line="240" w:lineRule="auto"/>
            </w:pPr>
            <w:r/>
            <w:r>
              <w:rPr>
                <w:rFonts w:ascii="Arial" w:hAnsi="Arial"/>
                <w:sz w:val="20"/>
              </w:rPr>
              <w:t>−0,27%</w:t>
            </w:r>
          </w:p>
        </w:tc>
      </w:tr>
      <w:tr>
        <w:tc>
          <w:tcPr>
            <w:tcW w:type="dxa" w:w="1176"/>
          </w:tcPr>
          <w:p>
            <w:pPr>
              <w:spacing w:after="40" w:line="240" w:lineRule="auto"/>
            </w:pPr>
            <w:r/>
            <w:r>
              <w:rPr>
                <w:rFonts w:ascii="Arial" w:hAnsi="Arial"/>
                <w:sz w:val="20"/>
              </w:rPr>
              <w:t>Tapicería</w:t>
            </w:r>
          </w:p>
        </w:tc>
        <w:tc>
          <w:tcPr>
            <w:tcW w:type="dxa" w:w="1176"/>
          </w:tcPr>
          <w:p>
            <w:pPr>
              <w:spacing w:after="40" w:line="240" w:lineRule="auto"/>
            </w:pPr>
            <w:r/>
            <w:r>
              <w:rPr>
                <w:rFonts w:ascii="Arial" w:hAnsi="Arial"/>
                <w:sz w:val="20"/>
              </w:rPr>
              <w:t>8,82</w:t>
            </w:r>
          </w:p>
        </w:tc>
        <w:tc>
          <w:tcPr>
            <w:tcW w:type="dxa" w:w="1176"/>
          </w:tcPr>
          <w:p>
            <w:pPr>
              <w:spacing w:after="40" w:line="240" w:lineRule="auto"/>
            </w:pPr>
            <w:r/>
            <w:r>
              <w:rPr>
                <w:rFonts w:ascii="Arial" w:hAnsi="Arial"/>
                <w:sz w:val="20"/>
              </w:rPr>
              <w:t>26,23</w:t>
            </w:r>
          </w:p>
        </w:tc>
        <w:tc>
          <w:tcPr>
            <w:tcW w:type="dxa" w:w="1176"/>
          </w:tcPr>
          <w:p>
            <w:pPr>
              <w:spacing w:after="40" w:line="240" w:lineRule="auto"/>
            </w:pPr>
            <w:r/>
            <w:r>
              <w:rPr>
                <w:rFonts w:ascii="Arial" w:hAnsi="Arial"/>
                <w:sz w:val="20"/>
              </w:rPr>
              <w:t>29,55</w:t>
            </w:r>
          </w:p>
        </w:tc>
        <w:tc>
          <w:tcPr>
            <w:tcW w:type="dxa" w:w="1176"/>
          </w:tcPr>
          <w:p>
            <w:pPr>
              <w:spacing w:after="40" w:line="240" w:lineRule="auto"/>
            </w:pPr>
            <w:r/>
            <w:r>
              <w:rPr>
                <w:rFonts w:ascii="Arial" w:hAnsi="Arial"/>
                <w:sz w:val="20"/>
              </w:rPr>
              <w:t>+12,6%</w:t>
            </w:r>
          </w:p>
        </w:tc>
        <w:tc>
          <w:tcPr>
            <w:tcW w:type="dxa" w:w="1176"/>
          </w:tcPr>
          <w:p>
            <w:pPr>
              <w:spacing w:after="40" w:line="240" w:lineRule="auto"/>
            </w:pPr>
            <w:r/>
            <w:r>
              <w:rPr>
                <w:rFonts w:ascii="Arial" w:hAnsi="Arial"/>
                <w:sz w:val="20"/>
              </w:rPr>
              <w:t>39.101</w:t>
            </w:r>
          </w:p>
        </w:tc>
        <w:tc>
          <w:tcPr>
            <w:tcW w:type="dxa" w:w="1176"/>
          </w:tcPr>
          <w:p>
            <w:pPr>
              <w:spacing w:after="40" w:line="240" w:lineRule="auto"/>
            </w:pPr>
            <w:r/>
            <w:r>
              <w:rPr>
                <w:rFonts w:ascii="Arial" w:hAnsi="Arial"/>
                <w:sz w:val="20"/>
              </w:rPr>
              <w:t>38.954</w:t>
            </w:r>
          </w:p>
        </w:tc>
        <w:tc>
          <w:tcPr>
            <w:tcW w:type="dxa" w:w="1176"/>
          </w:tcPr>
          <w:p>
            <w:pPr>
              <w:spacing w:after="40" w:line="240" w:lineRule="auto"/>
            </w:pPr>
            <w:r/>
            <w:r>
              <w:rPr>
                <w:rFonts w:ascii="Arial" w:hAnsi="Arial"/>
                <w:sz w:val="20"/>
              </w:rPr>
              <w:t>−0,38%</w:t>
            </w:r>
          </w:p>
        </w:tc>
      </w:tr>
    </w:tbl>
    <w:p/>
    <w:p>
      <w:r>
        <w:rPr>
          <w:rFonts w:ascii="Arial" w:hAnsi="Arial"/>
          <w:sz w:val="22"/>
        </w:rPr>
        <w:t xml:space="preserve">Los cinco insumos cumplen holgadamente la condición de Brown, y aunque la cantidad de pedido cambia entre un 10% y un 20%, el costo total apenas mejora </w:t>
      </w:r>
      <w:r>
        <w:rPr>
          <w:rFonts w:ascii="Arial" w:hAnsi="Arial"/>
          <w:b/>
          <w:sz w:val="22"/>
        </w:rPr>
        <w:t>un 0,78% en el peor caso</w:t>
      </w:r>
      <w:r>
        <w:rPr>
          <w:rFonts w:ascii="Arial" w:hAnsi="Arial"/>
          <w:sz w:val="22"/>
        </w:rPr>
        <w:t>. La aproximación de Winston es perfectamente válida acá, así que nos quedamos con ella.</w:t>
      </w:r>
    </w:p>
    <w:p>
      <w:pPr>
        <w:keepNext/>
        <w:spacing w:before="400" w:after="120"/>
      </w:pPr>
      <w:r>
        <w:rPr>
          <w:rFonts w:ascii="Arial" w:hAnsi="Arial"/>
          <w:b w:val="0"/>
          <w:sz w:val="40"/>
        </w:rPr>
        <w:t>5. Política B — EOQ Basado en Nivel de Servicio (α = 0,05)</w:t>
      </w:r>
    </w:p>
    <w:p>
      <w:r>
        <w:rPr>
          <w:rFonts w:ascii="Arial" w:hAnsi="Arial"/>
          <w:sz w:val="22"/>
        </w:rPr>
        <w:t>Ahora colocamos los resultados de aplicar una política de stock basada en un nivel de servicio donde el 95% de los ciclos de reposición no poseen quiebres de stock. Corresponde a la sección 16.7 de Winston.</w:t>
      </w:r>
    </w:p>
    <w:p>
      <w:r>
        <w:rPr>
          <w:rFonts w:ascii="Arial" w:hAnsi="Arial"/>
          <w:sz w:val="22"/>
        </w:rPr>
        <w:t>La cantidad de pedido es la misma, el EOQ. Lo único que cambia es cómo se fija el punto de reabastecimiento: en lugar de derivarlo de los costos, le imponemos al modelo que la probabilidad de quedarse sin stock durante el plazo de entrega sea del 5%.</w:t>
      </w:r>
    </w:p>
    <w:p>
      <w:pPr>
        <w:spacing w:line="240" w:lineRule="auto"/>
        <w:ind w:left="567"/>
      </w:pPr>
      <w:r>
        <w:rPr>
          <w:rFonts w:ascii="Consolas" w:hAnsi="Consolas"/>
          <w:sz w:val="19"/>
        </w:rPr>
        <w:t>z = Φ⁻¹(0,95) = 1,6449</w:t>
        <w:br/>
        <w:t>r = E(X) + 1,6449 · σ_X</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68"/>
        <w:gridCol w:w="1568"/>
        <w:gridCol w:w="1568"/>
        <w:gridCol w:w="1568"/>
        <w:gridCol w:w="1568"/>
        <w:gridCol w:w="1568"/>
      </w:tblGrid>
      <w:tr>
        <w:tc>
          <w:tcPr>
            <w:tcW w:type="dxa" w:w="1568"/>
          </w:tcPr>
          <w:p>
            <w:pPr>
              <w:spacing w:after="40" w:line="240" w:lineRule="auto"/>
            </w:pPr>
            <w:r/>
            <w:r>
              <w:rPr>
                <w:rFonts w:ascii="Arial" w:hAnsi="Arial"/>
                <w:b/>
                <w:sz w:val="20"/>
              </w:rPr>
              <w:t>Insumo</w:t>
            </w:r>
          </w:p>
        </w:tc>
        <w:tc>
          <w:tcPr>
            <w:tcW w:type="dxa" w:w="1568"/>
          </w:tcPr>
          <w:p>
            <w:pPr>
              <w:spacing w:after="40" w:line="240" w:lineRule="auto"/>
            </w:pPr>
            <w:r/>
            <w:r>
              <w:rPr>
                <w:rFonts w:ascii="Arial" w:hAnsi="Arial"/>
                <w:b/>
                <w:sz w:val="20"/>
              </w:rPr>
              <w:t>q</w:t>
            </w:r>
          </w:p>
        </w:tc>
        <w:tc>
          <w:tcPr>
            <w:tcW w:type="dxa" w:w="1568"/>
          </w:tcPr>
          <w:p>
            <w:pPr>
              <w:spacing w:after="40" w:line="240" w:lineRule="auto"/>
            </w:pPr>
            <w:r/>
            <w:r>
              <w:rPr>
                <w:rFonts w:ascii="Arial" w:hAnsi="Arial"/>
                <w:b/>
                <w:sz w:val="20"/>
              </w:rPr>
              <w:t>r</w:t>
            </w:r>
          </w:p>
        </w:tc>
        <w:tc>
          <w:tcPr>
            <w:tcW w:type="dxa" w:w="1568"/>
          </w:tcPr>
          <w:p>
            <w:pPr>
              <w:spacing w:after="40" w:line="240" w:lineRule="auto"/>
            </w:pPr>
            <w:r/>
            <w:r>
              <w:rPr>
                <w:rFonts w:ascii="Arial" w:hAnsi="Arial"/>
                <w:b/>
                <w:sz w:val="20"/>
              </w:rPr>
              <w:t>Stock seg.</w:t>
            </w:r>
          </w:p>
        </w:tc>
        <w:tc>
          <w:tcPr>
            <w:tcW w:type="dxa" w:w="1568"/>
          </w:tcPr>
          <w:p>
            <w:pPr>
              <w:spacing w:after="40" w:line="240" w:lineRule="auto"/>
            </w:pPr>
            <w:r/>
            <w:r>
              <w:rPr>
                <w:rFonts w:ascii="Arial" w:hAnsi="Arial"/>
                <w:b/>
                <w:sz w:val="20"/>
              </w:rPr>
              <w:t>Pedidos/año</w:t>
            </w:r>
          </w:p>
        </w:tc>
        <w:tc>
          <w:tcPr>
            <w:tcW w:type="dxa" w:w="1568"/>
          </w:tcPr>
          <w:p>
            <w:pPr>
              <w:spacing w:after="40" w:line="240" w:lineRule="auto"/>
            </w:pPr>
            <w:r/>
            <w:r>
              <w:rPr>
                <w:rFonts w:ascii="Arial" w:hAnsi="Arial"/>
                <w:b/>
                <w:sz w:val="20"/>
              </w:rPr>
              <w:t>TC</w:t>
            </w:r>
          </w:p>
        </w:tc>
      </w:tr>
      <w:tr>
        <w:tc>
          <w:tcPr>
            <w:tcW w:type="dxa" w:w="1568"/>
          </w:tcPr>
          <w:p>
            <w:pPr>
              <w:spacing w:after="40" w:line="240" w:lineRule="auto"/>
            </w:pPr>
            <w:r/>
            <w:r>
              <w:rPr>
                <w:rFonts w:ascii="Arial" w:hAnsi="Arial"/>
                <w:sz w:val="20"/>
              </w:rPr>
              <w:t>Motor de Alto Rendimiento V8</w:t>
            </w:r>
          </w:p>
        </w:tc>
        <w:tc>
          <w:tcPr>
            <w:tcW w:type="dxa" w:w="1568"/>
          </w:tcPr>
          <w:p>
            <w:pPr>
              <w:spacing w:after="40" w:line="240" w:lineRule="auto"/>
            </w:pPr>
            <w:r/>
            <w:r>
              <w:rPr>
                <w:rFonts w:ascii="Arial" w:hAnsi="Arial"/>
                <w:sz w:val="20"/>
              </w:rPr>
              <w:t>13,72</w:t>
            </w:r>
          </w:p>
        </w:tc>
        <w:tc>
          <w:tcPr>
            <w:tcW w:type="dxa" w:w="1568"/>
          </w:tcPr>
          <w:p>
            <w:pPr>
              <w:spacing w:after="40" w:line="240" w:lineRule="auto"/>
            </w:pPr>
            <w:r/>
            <w:r>
              <w:rPr>
                <w:rFonts w:ascii="Arial" w:hAnsi="Arial"/>
                <w:sz w:val="20"/>
              </w:rPr>
              <w:t>72,89</w:t>
            </w:r>
          </w:p>
        </w:tc>
        <w:tc>
          <w:tcPr>
            <w:tcW w:type="dxa" w:w="1568"/>
          </w:tcPr>
          <w:p>
            <w:pPr>
              <w:spacing w:after="40" w:line="240" w:lineRule="auto"/>
            </w:pPr>
            <w:r/>
            <w:r>
              <w:rPr>
                <w:rFonts w:ascii="Arial" w:hAnsi="Arial"/>
                <w:sz w:val="20"/>
              </w:rPr>
              <w:t>7,74</w:t>
            </w:r>
          </w:p>
        </w:tc>
        <w:tc>
          <w:tcPr>
            <w:tcW w:type="dxa" w:w="1568"/>
          </w:tcPr>
          <w:p>
            <w:pPr>
              <w:spacing w:after="40" w:line="240" w:lineRule="auto"/>
            </w:pPr>
            <w:r/>
            <w:r>
              <w:rPr>
                <w:rFonts w:ascii="Arial" w:hAnsi="Arial"/>
                <w:sz w:val="20"/>
              </w:rPr>
              <w:t>41,2</w:t>
            </w:r>
          </w:p>
        </w:tc>
        <w:tc>
          <w:tcPr>
            <w:tcW w:type="dxa" w:w="1568"/>
          </w:tcPr>
          <w:p>
            <w:pPr>
              <w:spacing w:after="40" w:line="240" w:lineRule="auto"/>
            </w:pPr>
            <w:r/>
            <w:r>
              <w:rPr>
                <w:rFonts w:ascii="Arial" w:hAnsi="Arial"/>
                <w:sz w:val="20"/>
              </w:rPr>
              <w:t>44.042</w:t>
            </w:r>
          </w:p>
        </w:tc>
      </w:tr>
      <w:tr>
        <w:tc>
          <w:tcPr>
            <w:tcW w:type="dxa" w:w="1568"/>
          </w:tcPr>
          <w:p>
            <w:pPr>
              <w:spacing w:after="40" w:line="240" w:lineRule="auto"/>
            </w:pPr>
            <w:r/>
            <w:r>
              <w:rPr>
                <w:rFonts w:ascii="Arial" w:hAnsi="Arial"/>
                <w:sz w:val="20"/>
              </w:rPr>
              <w:t>Motor de Cilindros en Línea Raro</w:t>
            </w:r>
          </w:p>
        </w:tc>
        <w:tc>
          <w:tcPr>
            <w:tcW w:type="dxa" w:w="1568"/>
          </w:tcPr>
          <w:p>
            <w:pPr>
              <w:spacing w:after="40" w:line="240" w:lineRule="auto"/>
            </w:pPr>
            <w:r/>
            <w:r>
              <w:rPr>
                <w:rFonts w:ascii="Arial" w:hAnsi="Arial"/>
                <w:sz w:val="20"/>
              </w:rPr>
              <w:t>9,39</w:t>
            </w:r>
          </w:p>
        </w:tc>
        <w:tc>
          <w:tcPr>
            <w:tcW w:type="dxa" w:w="1568"/>
          </w:tcPr>
          <w:p>
            <w:pPr>
              <w:spacing w:after="40" w:line="240" w:lineRule="auto"/>
            </w:pPr>
            <w:r/>
            <w:r>
              <w:rPr>
                <w:rFonts w:ascii="Arial" w:hAnsi="Arial"/>
                <w:sz w:val="20"/>
              </w:rPr>
              <w:t>88,23</w:t>
            </w:r>
          </w:p>
        </w:tc>
        <w:tc>
          <w:tcPr>
            <w:tcW w:type="dxa" w:w="1568"/>
          </w:tcPr>
          <w:p>
            <w:pPr>
              <w:spacing w:after="40" w:line="240" w:lineRule="auto"/>
            </w:pPr>
            <w:r/>
            <w:r>
              <w:rPr>
                <w:rFonts w:ascii="Arial" w:hAnsi="Arial"/>
                <w:sz w:val="20"/>
              </w:rPr>
              <w:t>6,83</w:t>
            </w:r>
          </w:p>
        </w:tc>
        <w:tc>
          <w:tcPr>
            <w:tcW w:type="dxa" w:w="1568"/>
          </w:tcPr>
          <w:p>
            <w:pPr>
              <w:spacing w:after="40" w:line="240" w:lineRule="auto"/>
            </w:pPr>
            <w:r/>
            <w:r>
              <w:rPr>
                <w:rFonts w:ascii="Arial" w:hAnsi="Arial"/>
                <w:sz w:val="20"/>
              </w:rPr>
              <w:t>37,6</w:t>
            </w:r>
          </w:p>
        </w:tc>
        <w:tc>
          <w:tcPr>
            <w:tcW w:type="dxa" w:w="1568"/>
          </w:tcPr>
          <w:p>
            <w:pPr>
              <w:spacing w:after="40" w:line="240" w:lineRule="auto"/>
            </w:pPr>
            <w:r/>
            <w:r>
              <w:rPr>
                <w:rFonts w:ascii="Arial" w:hAnsi="Arial"/>
                <w:sz w:val="20"/>
              </w:rPr>
              <w:t>46.503</w:t>
            </w:r>
          </w:p>
        </w:tc>
      </w:tr>
      <w:tr>
        <w:tc>
          <w:tcPr>
            <w:tcW w:type="dxa" w:w="1568"/>
          </w:tcPr>
          <w:p>
            <w:pPr>
              <w:spacing w:after="40" w:line="240" w:lineRule="auto"/>
            </w:pPr>
            <w:r/>
            <w:r>
              <w:rPr>
                <w:rFonts w:ascii="Arial" w:hAnsi="Arial"/>
                <w:sz w:val="20"/>
              </w:rPr>
              <w:t>Carrocería Artesanal de Época</w:t>
            </w:r>
          </w:p>
        </w:tc>
        <w:tc>
          <w:tcPr>
            <w:tcW w:type="dxa" w:w="1568"/>
          </w:tcPr>
          <w:p>
            <w:pPr>
              <w:spacing w:after="40" w:line="240" w:lineRule="auto"/>
            </w:pPr>
            <w:r/>
            <w:r>
              <w:rPr>
                <w:rFonts w:ascii="Arial" w:hAnsi="Arial"/>
                <w:sz w:val="20"/>
              </w:rPr>
              <w:t>8,40</w:t>
            </w:r>
          </w:p>
        </w:tc>
        <w:tc>
          <w:tcPr>
            <w:tcW w:type="dxa" w:w="1568"/>
          </w:tcPr>
          <w:p>
            <w:pPr>
              <w:spacing w:after="40" w:line="240" w:lineRule="auto"/>
            </w:pPr>
            <w:r/>
            <w:r>
              <w:rPr>
                <w:rFonts w:ascii="Arial" w:hAnsi="Arial"/>
                <w:sz w:val="20"/>
              </w:rPr>
              <w:t>74,06</w:t>
            </w:r>
          </w:p>
        </w:tc>
        <w:tc>
          <w:tcPr>
            <w:tcW w:type="dxa" w:w="1568"/>
          </w:tcPr>
          <w:p>
            <w:pPr>
              <w:spacing w:after="40" w:line="240" w:lineRule="auto"/>
            </w:pPr>
            <w:r/>
            <w:r>
              <w:rPr>
                <w:rFonts w:ascii="Arial" w:hAnsi="Arial"/>
                <w:sz w:val="20"/>
              </w:rPr>
              <w:t>6,24</w:t>
            </w:r>
          </w:p>
        </w:tc>
        <w:tc>
          <w:tcPr>
            <w:tcW w:type="dxa" w:w="1568"/>
          </w:tcPr>
          <w:p>
            <w:pPr>
              <w:spacing w:after="40" w:line="240" w:lineRule="auto"/>
            </w:pPr>
            <w:r/>
            <w:r>
              <w:rPr>
                <w:rFonts w:ascii="Arial" w:hAnsi="Arial"/>
                <w:sz w:val="20"/>
              </w:rPr>
              <w:t>42,0</w:t>
            </w:r>
          </w:p>
        </w:tc>
        <w:tc>
          <w:tcPr>
            <w:tcW w:type="dxa" w:w="1568"/>
          </w:tcPr>
          <w:p>
            <w:pPr>
              <w:spacing w:after="40" w:line="240" w:lineRule="auto"/>
            </w:pPr>
            <w:r/>
            <w:r>
              <w:rPr>
                <w:rFonts w:ascii="Arial" w:hAnsi="Arial"/>
                <w:sz w:val="20"/>
              </w:rPr>
              <w:t>51.633</w:t>
            </w:r>
          </w:p>
        </w:tc>
      </w:tr>
      <w:tr>
        <w:tc>
          <w:tcPr>
            <w:tcW w:type="dxa" w:w="1568"/>
          </w:tcPr>
          <w:p>
            <w:pPr>
              <w:spacing w:after="40" w:line="240" w:lineRule="auto"/>
            </w:pPr>
            <w:r/>
            <w:r>
              <w:rPr>
                <w:rFonts w:ascii="Arial" w:hAnsi="Arial"/>
                <w:sz w:val="20"/>
              </w:rPr>
              <w:t>Carrocería Estándar (Fibra)</w:t>
            </w:r>
          </w:p>
        </w:tc>
        <w:tc>
          <w:tcPr>
            <w:tcW w:type="dxa" w:w="1568"/>
          </w:tcPr>
          <w:p>
            <w:pPr>
              <w:spacing w:after="40" w:line="240" w:lineRule="auto"/>
            </w:pPr>
            <w:r/>
            <w:r>
              <w:rPr>
                <w:rFonts w:ascii="Arial" w:hAnsi="Arial"/>
                <w:sz w:val="20"/>
              </w:rPr>
              <w:t>16,14</w:t>
            </w:r>
          </w:p>
        </w:tc>
        <w:tc>
          <w:tcPr>
            <w:tcW w:type="dxa" w:w="1568"/>
          </w:tcPr>
          <w:p>
            <w:pPr>
              <w:spacing w:after="40" w:line="240" w:lineRule="auto"/>
            </w:pPr>
            <w:r/>
            <w:r>
              <w:rPr>
                <w:rFonts w:ascii="Arial" w:hAnsi="Arial"/>
                <w:sz w:val="20"/>
              </w:rPr>
              <w:t>49,75</w:t>
            </w:r>
          </w:p>
        </w:tc>
        <w:tc>
          <w:tcPr>
            <w:tcW w:type="dxa" w:w="1568"/>
          </w:tcPr>
          <w:p>
            <w:pPr>
              <w:spacing w:after="40" w:line="240" w:lineRule="auto"/>
            </w:pPr>
            <w:r/>
            <w:r>
              <w:rPr>
                <w:rFonts w:ascii="Arial" w:hAnsi="Arial"/>
                <w:sz w:val="20"/>
              </w:rPr>
              <w:t>6,32</w:t>
            </w:r>
          </w:p>
        </w:tc>
        <w:tc>
          <w:tcPr>
            <w:tcW w:type="dxa" w:w="1568"/>
          </w:tcPr>
          <w:p>
            <w:pPr>
              <w:spacing w:after="40" w:line="240" w:lineRule="auto"/>
            </w:pPr>
            <w:r/>
            <w:r>
              <w:rPr>
                <w:rFonts w:ascii="Arial" w:hAnsi="Arial"/>
                <w:sz w:val="20"/>
              </w:rPr>
              <w:t>35,0</w:t>
            </w:r>
          </w:p>
        </w:tc>
        <w:tc>
          <w:tcPr>
            <w:tcW w:type="dxa" w:w="1568"/>
          </w:tcPr>
          <w:p>
            <w:pPr>
              <w:spacing w:after="40" w:line="240" w:lineRule="auto"/>
            </w:pPr>
            <w:r/>
            <w:r>
              <w:rPr>
                <w:rFonts w:ascii="Arial" w:hAnsi="Arial"/>
                <w:sz w:val="20"/>
              </w:rPr>
              <w:t>32.960</w:t>
            </w:r>
          </w:p>
        </w:tc>
      </w:tr>
      <w:tr>
        <w:tc>
          <w:tcPr>
            <w:tcW w:type="dxa" w:w="1568"/>
          </w:tcPr>
          <w:p>
            <w:pPr>
              <w:spacing w:after="40" w:line="240" w:lineRule="auto"/>
            </w:pPr>
            <w:r/>
            <w:r>
              <w:rPr>
                <w:rFonts w:ascii="Arial" w:hAnsi="Arial"/>
                <w:sz w:val="20"/>
              </w:rPr>
              <w:t>Tapicería de Cuero Premium</w:t>
            </w:r>
          </w:p>
        </w:tc>
        <w:tc>
          <w:tcPr>
            <w:tcW w:type="dxa" w:w="1568"/>
          </w:tcPr>
          <w:p>
            <w:pPr>
              <w:spacing w:after="40" w:line="240" w:lineRule="auto"/>
            </w:pPr>
            <w:r/>
            <w:r>
              <w:rPr>
                <w:rFonts w:ascii="Arial" w:hAnsi="Arial"/>
                <w:sz w:val="20"/>
              </w:rPr>
              <w:t>26,23</w:t>
            </w:r>
          </w:p>
        </w:tc>
        <w:tc>
          <w:tcPr>
            <w:tcW w:type="dxa" w:w="1568"/>
          </w:tcPr>
          <w:p>
            <w:pPr>
              <w:spacing w:after="40" w:line="240" w:lineRule="auto"/>
            </w:pPr>
            <w:r/>
            <w:r>
              <w:rPr>
                <w:rFonts w:ascii="Arial" w:hAnsi="Arial"/>
                <w:sz w:val="20"/>
              </w:rPr>
              <w:t>155,65</w:t>
            </w:r>
          </w:p>
        </w:tc>
        <w:tc>
          <w:tcPr>
            <w:tcW w:type="dxa" w:w="1568"/>
          </w:tcPr>
          <w:p>
            <w:pPr>
              <w:spacing w:after="40" w:line="240" w:lineRule="auto"/>
            </w:pPr>
            <w:r/>
            <w:r>
              <w:rPr>
                <w:rFonts w:ascii="Arial" w:hAnsi="Arial"/>
                <w:sz w:val="20"/>
              </w:rPr>
              <w:t>14,51</w:t>
            </w:r>
          </w:p>
        </w:tc>
        <w:tc>
          <w:tcPr>
            <w:tcW w:type="dxa" w:w="1568"/>
          </w:tcPr>
          <w:p>
            <w:pPr>
              <w:spacing w:after="40" w:line="240" w:lineRule="auto"/>
            </w:pPr>
            <w:r/>
            <w:r>
              <w:rPr>
                <w:rFonts w:ascii="Arial" w:hAnsi="Arial"/>
                <w:sz w:val="20"/>
              </w:rPr>
              <w:t>35,0</w:t>
            </w:r>
          </w:p>
        </w:tc>
        <w:tc>
          <w:tcPr>
            <w:tcW w:type="dxa" w:w="1568"/>
          </w:tcPr>
          <w:p>
            <w:pPr>
              <w:spacing w:after="40" w:line="240" w:lineRule="auto"/>
            </w:pPr>
            <w:r/>
            <w:r>
              <w:rPr>
                <w:rFonts w:ascii="Arial" w:hAnsi="Arial"/>
                <w:sz w:val="20"/>
              </w:rPr>
              <w:t>43.665</w:t>
            </w:r>
          </w:p>
        </w:tc>
      </w:tr>
      <w:tr>
        <w:tc>
          <w:tcPr>
            <w:tcW w:type="dxa" w:w="1568"/>
          </w:tcPr>
          <w:p>
            <w:pPr>
              <w:spacing w:after="40" w:line="240" w:lineRule="auto"/>
            </w:pPr>
            <w:r/>
            <w:r>
              <w:rPr>
                <w:rFonts w:ascii="Arial" w:hAnsi="Arial"/>
                <w:b/>
                <w:sz w:val="20"/>
              </w:rPr>
              <w:t>TOTAL</w:t>
            </w:r>
          </w:p>
        </w:tc>
        <w:tc>
          <w:tcPr>
            <w:tcW w:type="dxa" w:w="1568"/>
          </w:tcPr>
          <w:p>
            <w:pPr>
              <w:spacing w:after="40" w:line="240" w:lineRule="auto"/>
            </w:pPr>
            <w:r/>
          </w:p>
        </w:tc>
        <w:tc>
          <w:tcPr>
            <w:tcW w:type="dxa" w:w="1568"/>
          </w:tcPr>
          <w:p>
            <w:pPr>
              <w:spacing w:after="40" w:line="240" w:lineRule="auto"/>
            </w:pPr>
            <w:r/>
          </w:p>
        </w:tc>
        <w:tc>
          <w:tcPr>
            <w:tcW w:type="dxa" w:w="1568"/>
          </w:tcPr>
          <w:p>
            <w:pPr>
              <w:spacing w:after="40" w:line="240" w:lineRule="auto"/>
            </w:pPr>
            <w:r/>
            <w:r>
              <w:rPr>
                <w:rFonts w:ascii="Arial" w:hAnsi="Arial"/>
                <w:b/>
                <w:sz w:val="20"/>
              </w:rPr>
              <w:t>41,64</w:t>
            </w:r>
          </w:p>
        </w:tc>
        <w:tc>
          <w:tcPr>
            <w:tcW w:type="dxa" w:w="1568"/>
          </w:tcPr>
          <w:p>
            <w:pPr>
              <w:spacing w:after="40" w:line="240" w:lineRule="auto"/>
            </w:pPr>
            <w:r/>
          </w:p>
        </w:tc>
        <w:tc>
          <w:tcPr>
            <w:tcW w:type="dxa" w:w="1568"/>
          </w:tcPr>
          <w:p>
            <w:pPr>
              <w:spacing w:after="40" w:line="240" w:lineRule="auto"/>
            </w:pPr>
            <w:r/>
            <w:r>
              <w:rPr>
                <w:rFonts w:ascii="Arial" w:hAnsi="Arial"/>
                <w:b/>
                <w:sz w:val="20"/>
              </w:rPr>
              <w:t>USD 218.802</w:t>
            </w:r>
          </w:p>
        </w:tc>
      </w:tr>
    </w:tbl>
    <w:p/>
    <w:p>
      <w:r>
        <w:rPr>
          <w:rFonts w:ascii="Arial" w:hAnsi="Arial"/>
          <w:sz w:val="22"/>
        </w:rPr>
        <w:t>El costo de déficit se calcula con el mismo c_B que en la Política A, aunque esta política no lo haya usado para decidir nada. Esto es fundamental para que la comparación signifique algo: si a cada política la midiéramos con su propia fórmula, ganaría la que tenga la fórmula más piadosa y no la que administre mejor el inventario.</w:t>
      </w:r>
    </w:p>
    <w:p>
      <w:pPr>
        <w:keepNext/>
        <w:spacing w:before="400" w:after="120"/>
      </w:pPr>
      <w:r>
        <w:rPr>
          <w:rFonts w:ascii="Arial" w:hAnsi="Arial"/>
          <w:b w:val="0"/>
          <w:sz w:val="40"/>
        </w:rPr>
        <w:t>6. Nivel de Servicio Resultante</w:t>
      </w:r>
    </w:p>
    <w:p>
      <w:r>
        <w:rPr>
          <w:rFonts w:ascii="Arial" w:hAnsi="Arial"/>
          <w:sz w:val="22"/>
        </w:rPr>
        <w:t>Una pregunta que vale la pena hacerse es: si la Política A no fija ningún nivel de servicio, ¿cuál termina alcanzando?</w:t>
      </w:r>
    </w:p>
    <w:p>
      <w:r>
        <w:rPr>
          <w:rFonts w:ascii="Arial" w:hAnsi="Arial"/>
          <w:sz w:val="22"/>
        </w:rPr>
        <w:t>Winston define dos medidas para responder esto (sección 16.7, página 898):</w:t>
      </w:r>
    </w:p>
    <w:p>
      <w:pPr>
        <w:pStyle w:val="ListBullet"/>
        <w:spacing w:line="276" w:lineRule="auto"/>
      </w:pPr>
      <w:r>
        <w:rPr>
          <w:rFonts w:ascii="Arial" w:hAnsi="Arial"/>
          <w:b/>
          <w:sz w:val="22"/>
        </w:rPr>
        <w:t>SLM₁</w:t>
      </w:r>
      <w:r>
        <w:rPr>
          <w:rFonts w:ascii="Arial" w:hAnsi="Arial"/>
          <w:sz w:val="22"/>
        </w:rPr>
        <w:t>: la fracción esperada de toda la demanda que se cumple a tiempo.</w:t>
      </w:r>
    </w:p>
    <w:p>
      <w:pPr>
        <w:pStyle w:val="ListBullet"/>
        <w:spacing w:line="276" w:lineRule="auto"/>
      </w:pPr>
      <w:r>
        <w:rPr>
          <w:rFonts w:ascii="Arial" w:hAnsi="Arial"/>
          <w:b/>
          <w:sz w:val="22"/>
        </w:rPr>
        <w:t>SLM₂</w:t>
      </w:r>
      <w:r>
        <w:rPr>
          <w:rFonts w:ascii="Arial" w:hAnsi="Arial"/>
          <w:sz w:val="22"/>
        </w:rPr>
        <w:t>: el número esperado de ciclos al año durante los cuales se presenta</w:t>
      </w:r>
    </w:p>
    <w:p>
      <w:r>
        <w:rPr>
          <w:rFonts w:ascii="Arial" w:hAnsi="Arial"/>
          <w:sz w:val="22"/>
        </w:rPr>
        <w:t>un déficit.</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68"/>
        <w:gridCol w:w="1568"/>
        <w:gridCol w:w="1568"/>
        <w:gridCol w:w="1568"/>
        <w:gridCol w:w="1568"/>
        <w:gridCol w:w="1568"/>
      </w:tblGrid>
      <w:tr>
        <w:tc>
          <w:tcPr>
            <w:tcW w:type="dxa" w:w="1568"/>
          </w:tcPr>
          <w:p>
            <w:pPr>
              <w:spacing w:after="40" w:line="240" w:lineRule="auto"/>
            </w:pPr>
            <w:r/>
            <w:r>
              <w:rPr>
                <w:rFonts w:ascii="Arial" w:hAnsi="Arial"/>
                <w:b/>
                <w:sz w:val="20"/>
              </w:rPr>
              <w:t>Insumo</w:t>
            </w:r>
          </w:p>
        </w:tc>
        <w:tc>
          <w:tcPr>
            <w:tcW w:type="dxa" w:w="1568"/>
          </w:tcPr>
          <w:p>
            <w:pPr>
              <w:spacing w:after="40" w:line="240" w:lineRule="auto"/>
            </w:pPr>
            <w:r/>
            <w:r>
              <w:rPr>
                <w:rFonts w:ascii="Arial" w:hAnsi="Arial"/>
                <w:b/>
                <w:sz w:val="20"/>
              </w:rPr>
              <w:t>c_B/h</w:t>
            </w:r>
          </w:p>
        </w:tc>
        <w:tc>
          <w:tcPr>
            <w:tcW w:type="dxa" w:w="1568"/>
          </w:tcPr>
          <w:p>
            <w:pPr>
              <w:spacing w:after="40" w:line="240" w:lineRule="auto"/>
            </w:pPr>
            <w:r/>
            <w:r>
              <w:rPr>
                <w:rFonts w:ascii="Arial" w:hAnsi="Arial"/>
                <w:b/>
                <w:sz w:val="20"/>
              </w:rPr>
              <w:t>P(X ≥ r)</w:t>
            </w:r>
          </w:p>
        </w:tc>
        <w:tc>
          <w:tcPr>
            <w:tcW w:type="dxa" w:w="1568"/>
          </w:tcPr>
          <w:p>
            <w:pPr>
              <w:spacing w:after="40" w:line="240" w:lineRule="auto"/>
            </w:pPr>
            <w:r/>
            <w:r>
              <w:rPr>
                <w:rFonts w:ascii="Arial" w:hAnsi="Arial"/>
                <w:b/>
                <w:sz w:val="20"/>
              </w:rPr>
              <w:t>z</w:t>
            </w:r>
          </w:p>
        </w:tc>
        <w:tc>
          <w:tcPr>
            <w:tcW w:type="dxa" w:w="1568"/>
          </w:tcPr>
          <w:p>
            <w:pPr>
              <w:spacing w:after="40" w:line="240" w:lineRule="auto"/>
            </w:pPr>
            <w:r/>
            <w:r>
              <w:rPr>
                <w:rFonts w:ascii="Arial" w:hAnsi="Arial"/>
                <w:b/>
                <w:sz w:val="20"/>
              </w:rPr>
              <w:t>SLM₁</w:t>
            </w:r>
          </w:p>
        </w:tc>
        <w:tc>
          <w:tcPr>
            <w:tcW w:type="dxa" w:w="1568"/>
          </w:tcPr>
          <w:p>
            <w:pPr>
              <w:spacing w:after="40" w:line="240" w:lineRule="auto"/>
            </w:pPr>
            <w:r/>
            <w:r>
              <w:rPr>
                <w:rFonts w:ascii="Arial" w:hAnsi="Arial"/>
                <w:b/>
                <w:sz w:val="20"/>
              </w:rPr>
              <w:t>SLM₂</w:t>
            </w:r>
          </w:p>
        </w:tc>
      </w:tr>
      <w:tr>
        <w:tc>
          <w:tcPr>
            <w:tcW w:type="dxa" w:w="1568"/>
          </w:tcPr>
          <w:p>
            <w:pPr>
              <w:spacing w:after="40" w:line="240" w:lineRule="auto"/>
            </w:pPr>
            <w:r/>
            <w:r>
              <w:rPr>
                <w:rFonts w:ascii="Arial" w:hAnsi="Arial"/>
                <w:sz w:val="20"/>
              </w:rPr>
              <w:t>Motor de Alto Rendimiento V8</w:t>
            </w:r>
          </w:p>
        </w:tc>
        <w:tc>
          <w:tcPr>
            <w:tcW w:type="dxa" w:w="1568"/>
          </w:tcPr>
          <w:p>
            <w:pPr>
              <w:spacing w:after="40" w:line="240" w:lineRule="auto"/>
            </w:pPr>
            <w:r/>
            <w:r>
              <w:rPr>
                <w:rFonts w:ascii="Arial" w:hAnsi="Arial"/>
                <w:sz w:val="20"/>
              </w:rPr>
              <w:t>0,74</w:t>
            </w:r>
          </w:p>
        </w:tc>
        <w:tc>
          <w:tcPr>
            <w:tcW w:type="dxa" w:w="1568"/>
          </w:tcPr>
          <w:p>
            <w:pPr>
              <w:spacing w:after="40" w:line="240" w:lineRule="auto"/>
            </w:pPr>
            <w:r/>
            <w:r>
              <w:rPr>
                <w:rFonts w:ascii="Arial" w:hAnsi="Arial"/>
                <w:sz w:val="20"/>
              </w:rPr>
              <w:t>0,0326</w:t>
            </w:r>
          </w:p>
        </w:tc>
        <w:tc>
          <w:tcPr>
            <w:tcW w:type="dxa" w:w="1568"/>
          </w:tcPr>
          <w:p>
            <w:pPr>
              <w:spacing w:after="40" w:line="240" w:lineRule="auto"/>
            </w:pPr>
            <w:r/>
            <w:r>
              <w:rPr>
                <w:rFonts w:ascii="Arial" w:hAnsi="Arial"/>
                <w:sz w:val="20"/>
              </w:rPr>
              <w:t>1,843</w:t>
            </w:r>
          </w:p>
        </w:tc>
        <w:tc>
          <w:tcPr>
            <w:tcW w:type="dxa" w:w="1568"/>
          </w:tcPr>
          <w:p>
            <w:pPr>
              <w:spacing w:after="40" w:line="240" w:lineRule="auto"/>
            </w:pPr>
            <w:r/>
            <w:r>
              <w:rPr>
                <w:rFonts w:ascii="Arial" w:hAnsi="Arial"/>
                <w:sz w:val="20"/>
              </w:rPr>
              <w:t>99,56%</w:t>
            </w:r>
          </w:p>
        </w:tc>
        <w:tc>
          <w:tcPr>
            <w:tcW w:type="dxa" w:w="1568"/>
          </w:tcPr>
          <w:p>
            <w:pPr>
              <w:spacing w:after="40" w:line="240" w:lineRule="auto"/>
            </w:pPr>
            <w:r/>
            <w:r>
              <w:rPr>
                <w:rFonts w:ascii="Arial" w:hAnsi="Arial"/>
                <w:sz w:val="20"/>
              </w:rPr>
              <w:t>1,34</w:t>
            </w:r>
          </w:p>
        </w:tc>
      </w:tr>
      <w:tr>
        <w:tc>
          <w:tcPr>
            <w:tcW w:type="dxa" w:w="1568"/>
          </w:tcPr>
          <w:p>
            <w:pPr>
              <w:spacing w:after="40" w:line="240" w:lineRule="auto"/>
            </w:pPr>
            <w:r/>
            <w:r>
              <w:rPr>
                <w:rFonts w:ascii="Arial" w:hAnsi="Arial"/>
                <w:sz w:val="20"/>
              </w:rPr>
              <w:t>Motor de Cilindros en Línea Raro</w:t>
            </w:r>
          </w:p>
        </w:tc>
        <w:tc>
          <w:tcPr>
            <w:tcW w:type="dxa" w:w="1568"/>
          </w:tcPr>
          <w:p>
            <w:pPr>
              <w:spacing w:after="40" w:line="240" w:lineRule="auto"/>
            </w:pPr>
            <w:r/>
            <w:r>
              <w:rPr>
                <w:rFonts w:ascii="Arial" w:hAnsi="Arial"/>
                <w:sz w:val="20"/>
              </w:rPr>
              <w:t>0,97</w:t>
            </w:r>
          </w:p>
        </w:tc>
        <w:tc>
          <w:tcPr>
            <w:tcW w:type="dxa" w:w="1568"/>
          </w:tcPr>
          <w:p>
            <w:pPr>
              <w:spacing w:after="40" w:line="240" w:lineRule="auto"/>
            </w:pPr>
            <w:r/>
            <w:r>
              <w:rPr>
                <w:rFonts w:ascii="Arial" w:hAnsi="Arial"/>
                <w:sz w:val="20"/>
              </w:rPr>
              <w:t>0,0275</w:t>
            </w:r>
          </w:p>
        </w:tc>
        <w:tc>
          <w:tcPr>
            <w:tcW w:type="dxa" w:w="1568"/>
          </w:tcPr>
          <w:p>
            <w:pPr>
              <w:spacing w:after="40" w:line="240" w:lineRule="auto"/>
            </w:pPr>
            <w:r/>
            <w:r>
              <w:rPr>
                <w:rFonts w:ascii="Arial" w:hAnsi="Arial"/>
                <w:sz w:val="20"/>
              </w:rPr>
              <w:t>1,918</w:t>
            </w:r>
          </w:p>
        </w:tc>
        <w:tc>
          <w:tcPr>
            <w:tcW w:type="dxa" w:w="1568"/>
          </w:tcPr>
          <w:p>
            <w:pPr>
              <w:spacing w:after="40" w:line="240" w:lineRule="auto"/>
            </w:pPr>
            <w:r/>
            <w:r>
              <w:rPr>
                <w:rFonts w:ascii="Arial" w:hAnsi="Arial"/>
                <w:sz w:val="20"/>
              </w:rPr>
              <w:t>99,53%</w:t>
            </w:r>
          </w:p>
        </w:tc>
        <w:tc>
          <w:tcPr>
            <w:tcW w:type="dxa" w:w="1568"/>
          </w:tcPr>
          <w:p>
            <w:pPr>
              <w:spacing w:after="40" w:line="240" w:lineRule="auto"/>
            </w:pPr>
            <w:r/>
            <w:r>
              <w:rPr>
                <w:rFonts w:ascii="Arial" w:hAnsi="Arial"/>
                <w:sz w:val="20"/>
              </w:rPr>
              <w:t>1,03</w:t>
            </w:r>
          </w:p>
        </w:tc>
      </w:tr>
      <w:tr>
        <w:tc>
          <w:tcPr>
            <w:tcW w:type="dxa" w:w="1568"/>
          </w:tcPr>
          <w:p>
            <w:pPr>
              <w:spacing w:after="40" w:line="240" w:lineRule="auto"/>
            </w:pPr>
            <w:r/>
            <w:r>
              <w:rPr>
                <w:rFonts w:ascii="Arial" w:hAnsi="Arial"/>
                <w:sz w:val="20"/>
              </w:rPr>
              <w:t>Carrocería Artesanal de Época</w:t>
            </w:r>
          </w:p>
        </w:tc>
        <w:tc>
          <w:tcPr>
            <w:tcW w:type="dxa" w:w="1568"/>
          </w:tcPr>
          <w:p>
            <w:pPr>
              <w:spacing w:after="40" w:line="240" w:lineRule="auto"/>
            </w:pPr>
            <w:r/>
            <w:r>
              <w:rPr>
                <w:rFonts w:ascii="Arial" w:hAnsi="Arial"/>
                <w:sz w:val="20"/>
              </w:rPr>
              <w:t>0,77</w:t>
            </w:r>
          </w:p>
        </w:tc>
        <w:tc>
          <w:tcPr>
            <w:tcW w:type="dxa" w:w="1568"/>
          </w:tcPr>
          <w:p>
            <w:pPr>
              <w:spacing w:after="40" w:line="240" w:lineRule="auto"/>
            </w:pPr>
            <w:r/>
            <w:r>
              <w:rPr>
                <w:rFonts w:ascii="Arial" w:hAnsi="Arial"/>
                <w:sz w:val="20"/>
              </w:rPr>
              <w:t>0,0308</w:t>
            </w:r>
          </w:p>
        </w:tc>
        <w:tc>
          <w:tcPr>
            <w:tcW w:type="dxa" w:w="1568"/>
          </w:tcPr>
          <w:p>
            <w:pPr>
              <w:spacing w:after="40" w:line="240" w:lineRule="auto"/>
            </w:pPr>
            <w:r/>
            <w:r>
              <w:rPr>
                <w:rFonts w:ascii="Arial" w:hAnsi="Arial"/>
                <w:sz w:val="20"/>
              </w:rPr>
              <w:t>1,869</w:t>
            </w:r>
          </w:p>
        </w:tc>
        <w:tc>
          <w:tcPr>
            <w:tcW w:type="dxa" w:w="1568"/>
          </w:tcPr>
          <w:p>
            <w:pPr>
              <w:spacing w:after="40" w:line="240" w:lineRule="auto"/>
            </w:pPr>
            <w:r/>
            <w:r>
              <w:rPr>
                <w:rFonts w:ascii="Arial" w:hAnsi="Arial"/>
                <w:sz w:val="20"/>
              </w:rPr>
              <w:t>99,46%</w:t>
            </w:r>
          </w:p>
        </w:tc>
        <w:tc>
          <w:tcPr>
            <w:tcW w:type="dxa" w:w="1568"/>
          </w:tcPr>
          <w:p>
            <w:pPr>
              <w:spacing w:after="40" w:line="240" w:lineRule="auto"/>
            </w:pPr>
            <w:r/>
            <w:r>
              <w:rPr>
                <w:rFonts w:ascii="Arial" w:hAnsi="Arial"/>
                <w:sz w:val="20"/>
              </w:rPr>
              <w:t>1,29</w:t>
            </w:r>
          </w:p>
        </w:tc>
      </w:tr>
      <w:tr>
        <w:tc>
          <w:tcPr>
            <w:tcW w:type="dxa" w:w="1568"/>
          </w:tcPr>
          <w:p>
            <w:pPr>
              <w:spacing w:after="40" w:line="240" w:lineRule="auto"/>
            </w:pPr>
            <w:r/>
            <w:r>
              <w:rPr>
                <w:rFonts w:ascii="Arial" w:hAnsi="Arial"/>
                <w:sz w:val="20"/>
              </w:rPr>
              <w:t>Carrocería Estándar (Fibra)</w:t>
            </w:r>
          </w:p>
        </w:tc>
        <w:tc>
          <w:tcPr>
            <w:tcW w:type="dxa" w:w="1568"/>
          </w:tcPr>
          <w:p>
            <w:pPr>
              <w:spacing w:after="40" w:line="240" w:lineRule="auto"/>
            </w:pPr>
            <w:r/>
            <w:r>
              <w:rPr>
                <w:rFonts w:ascii="Arial" w:hAnsi="Arial"/>
                <w:sz w:val="20"/>
              </w:rPr>
              <w:t>1,03</w:t>
            </w:r>
          </w:p>
        </w:tc>
        <w:tc>
          <w:tcPr>
            <w:tcW w:type="dxa" w:w="1568"/>
          </w:tcPr>
          <w:p>
            <w:pPr>
              <w:spacing w:after="40" w:line="240" w:lineRule="auto"/>
            </w:pPr>
            <w:r/>
            <w:r>
              <w:rPr>
                <w:rFonts w:ascii="Arial" w:hAnsi="Arial"/>
                <w:sz w:val="20"/>
              </w:rPr>
              <w:t>0,0277</w:t>
            </w:r>
          </w:p>
        </w:tc>
        <w:tc>
          <w:tcPr>
            <w:tcW w:type="dxa" w:w="1568"/>
          </w:tcPr>
          <w:p>
            <w:pPr>
              <w:spacing w:after="40" w:line="240" w:lineRule="auto"/>
            </w:pPr>
            <w:r/>
            <w:r>
              <w:rPr>
                <w:rFonts w:ascii="Arial" w:hAnsi="Arial"/>
                <w:sz w:val="20"/>
              </w:rPr>
              <w:t>1,915</w:t>
            </w:r>
          </w:p>
        </w:tc>
        <w:tc>
          <w:tcPr>
            <w:tcW w:type="dxa" w:w="1568"/>
          </w:tcPr>
          <w:p>
            <w:pPr>
              <w:spacing w:after="40" w:line="240" w:lineRule="auto"/>
            </w:pPr>
            <w:r/>
            <w:r>
              <w:rPr>
                <w:rFonts w:ascii="Arial" w:hAnsi="Arial"/>
                <w:sz w:val="20"/>
              </w:rPr>
              <w:t>99,75%</w:t>
            </w:r>
          </w:p>
        </w:tc>
        <w:tc>
          <w:tcPr>
            <w:tcW w:type="dxa" w:w="1568"/>
          </w:tcPr>
          <w:p>
            <w:pPr>
              <w:spacing w:after="40" w:line="240" w:lineRule="auto"/>
            </w:pPr>
            <w:r/>
            <w:r>
              <w:rPr>
                <w:rFonts w:ascii="Arial" w:hAnsi="Arial"/>
                <w:sz w:val="20"/>
              </w:rPr>
              <w:t>0,97</w:t>
            </w:r>
          </w:p>
        </w:tc>
      </w:tr>
      <w:tr>
        <w:tc>
          <w:tcPr>
            <w:tcW w:type="dxa" w:w="1568"/>
          </w:tcPr>
          <w:p>
            <w:pPr>
              <w:spacing w:after="40" w:line="240" w:lineRule="auto"/>
            </w:pPr>
            <w:r/>
            <w:r>
              <w:rPr>
                <w:rFonts w:ascii="Arial" w:hAnsi="Arial"/>
                <w:sz w:val="20"/>
              </w:rPr>
              <w:t>Tapicería de Cuero Premium</w:t>
            </w:r>
          </w:p>
        </w:tc>
        <w:tc>
          <w:tcPr>
            <w:tcW w:type="dxa" w:w="1568"/>
          </w:tcPr>
          <w:p>
            <w:pPr>
              <w:spacing w:after="40" w:line="240" w:lineRule="auto"/>
            </w:pPr>
            <w:r/>
            <w:r>
              <w:rPr>
                <w:rFonts w:ascii="Arial" w:hAnsi="Arial"/>
                <w:sz w:val="20"/>
              </w:rPr>
              <w:t>2,15</w:t>
            </w:r>
          </w:p>
        </w:tc>
        <w:tc>
          <w:tcPr>
            <w:tcW w:type="dxa" w:w="1568"/>
          </w:tcPr>
          <w:p>
            <w:pPr>
              <w:spacing w:after="40" w:line="240" w:lineRule="auto"/>
            </w:pPr>
            <w:r/>
            <w:r>
              <w:rPr>
                <w:rFonts w:ascii="Arial" w:hAnsi="Arial"/>
                <w:sz w:val="20"/>
              </w:rPr>
              <w:t>0,0133</w:t>
            </w:r>
          </w:p>
        </w:tc>
        <w:tc>
          <w:tcPr>
            <w:tcW w:type="dxa" w:w="1568"/>
          </w:tcPr>
          <w:p>
            <w:pPr>
              <w:spacing w:after="40" w:line="240" w:lineRule="auto"/>
            </w:pPr>
            <w:r/>
            <w:r>
              <w:rPr>
                <w:rFonts w:ascii="Arial" w:hAnsi="Arial"/>
                <w:sz w:val="20"/>
              </w:rPr>
              <w:t>2,217</w:t>
            </w:r>
          </w:p>
        </w:tc>
        <w:tc>
          <w:tcPr>
            <w:tcW w:type="dxa" w:w="1568"/>
          </w:tcPr>
          <w:p>
            <w:pPr>
              <w:spacing w:after="40" w:line="240" w:lineRule="auto"/>
            </w:pPr>
            <w:r/>
            <w:r>
              <w:rPr>
                <w:rFonts w:ascii="Arial" w:hAnsi="Arial"/>
                <w:sz w:val="20"/>
              </w:rPr>
              <w:t>99,84%</w:t>
            </w:r>
          </w:p>
        </w:tc>
        <w:tc>
          <w:tcPr>
            <w:tcW w:type="dxa" w:w="1568"/>
          </w:tcPr>
          <w:p>
            <w:pPr>
              <w:spacing w:after="40" w:line="240" w:lineRule="auto"/>
            </w:pPr>
            <w:r/>
            <w:r>
              <w:rPr>
                <w:rFonts w:ascii="Arial" w:hAnsi="Arial"/>
                <w:sz w:val="20"/>
              </w:rPr>
              <w:t>0,47</w:t>
            </w:r>
          </w:p>
        </w:tc>
      </w:tr>
    </w:tbl>
    <w:p/>
    <w:p>
      <w:r>
        <w:rPr>
          <w:rFonts w:ascii="Arial" w:hAnsi="Arial"/>
          <w:b/>
          <w:sz w:val="22"/>
        </w:rPr>
        <w:t>Ponderando por demanda, la Política A alcanza un SLM₁ del 99,68% y una probabilidad de agotamiento de 0,0243.</w:t>
      </w:r>
    </w:p>
    <w:p>
      <w:r>
        <w:rPr>
          <w:rFonts w:ascii="Arial" w:hAnsi="Arial"/>
          <w:sz w:val="22"/>
        </w:rPr>
        <w:t xml:space="preserve">Y acá está el resultado más interesante de todo el trabajo: </w:t>
      </w:r>
      <w:r>
        <w:rPr>
          <w:rFonts w:ascii="Arial" w:hAnsi="Arial"/>
          <w:b/>
          <w:sz w:val="22"/>
        </w:rPr>
        <w:t>el óptimo económico termina siendo más conservador que el 95% que le imponíamos a la Política B</w:t>
      </w:r>
      <w:r>
        <w:rPr>
          <w:rFonts w:ascii="Arial" w:hAnsi="Arial"/>
          <w:sz w:val="22"/>
        </w:rPr>
        <w:t>. Con estos costos, cubrirse conviene por sí solo; no hace falta obligar al modelo a hacerlo.</w:t>
      </w:r>
    </w:p>
    <w:p>
      <w:r>
        <w:rPr>
          <w:rFonts w:ascii="Arial" w:hAnsi="Arial"/>
          <w:sz w:val="22"/>
        </w:rPr>
        <w:t>La lógica se sigue insumo por insumo mirando la columna c_B/h. La Tapicería de Cuero Premium, que es la que tiene la relación más alta (2,15), es la que termina con el z más grande (2,217). Es el insumo donde un faltante duele más en relación a lo que cuesta guardarlo, así que el modelo decide cubrirse más.</w:t>
      </w:r>
    </w:p>
    <w:p>
      <w:pPr>
        <w:keepNext/>
        <w:spacing w:before="400" w:after="120"/>
      </w:pPr>
      <w:r>
        <w:rPr>
          <w:rFonts w:ascii="Arial" w:hAnsi="Arial"/>
          <w:b w:val="0"/>
          <w:sz w:val="40"/>
        </w:rPr>
        <w:t>7. Comparación de las Dos Políticas</w:t>
      </w:r>
    </w:p>
    <w:p>
      <w:r>
        <w:rPr>
          <w:rFonts w:ascii="Arial" w:hAnsi="Arial"/>
          <w:sz w:val="22"/>
        </w:rPr>
        <w:t xml:space="preserve">Como las dos políticas piden el mismo </w:t>
      </w:r>
      <w:r>
        <w:rPr>
          <w:rFonts w:ascii="Arial" w:hAnsi="Arial"/>
          <w:i/>
          <w:sz w:val="22"/>
        </w:rPr>
        <w:t>q</w:t>
      </w:r>
      <w:r>
        <w:rPr>
          <w:rFonts w:ascii="Arial" w:hAnsi="Arial"/>
          <w:sz w:val="22"/>
        </w:rPr>
        <w:t>, la comparación aísla exactamente lo único que las diferencia: dónde ponen el punto de reabastecimiento.</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51"/>
        <w:gridCol w:w="2351"/>
        <w:gridCol w:w="2351"/>
        <w:gridCol w:w="2351"/>
      </w:tblGrid>
      <w:tr>
        <w:tc>
          <w:tcPr>
            <w:tcW w:type="dxa" w:w="2351"/>
          </w:tcPr>
          <w:p>
            <w:pPr>
              <w:spacing w:after="40" w:line="240" w:lineRule="auto"/>
            </w:pPr>
            <w:r/>
            <w:r>
              <w:rPr>
                <w:rFonts w:ascii="Arial" w:hAnsi="Arial"/>
                <w:b/>
                <w:sz w:val="20"/>
              </w:rPr>
              <w:t>Concepto</w:t>
            </w:r>
          </w:p>
        </w:tc>
        <w:tc>
          <w:tcPr>
            <w:tcW w:type="dxa" w:w="2351"/>
          </w:tcPr>
          <w:p>
            <w:pPr>
              <w:spacing w:after="40" w:line="240" w:lineRule="auto"/>
            </w:pPr>
            <w:r/>
            <w:r>
              <w:rPr>
                <w:rFonts w:ascii="Arial" w:hAnsi="Arial"/>
                <w:b/>
                <w:sz w:val="20"/>
              </w:rPr>
              <w:t>Política A</w:t>
            </w:r>
          </w:p>
        </w:tc>
        <w:tc>
          <w:tcPr>
            <w:tcW w:type="dxa" w:w="2351"/>
          </w:tcPr>
          <w:p>
            <w:pPr>
              <w:spacing w:after="40" w:line="240" w:lineRule="auto"/>
            </w:pPr>
            <w:r/>
            <w:r>
              <w:rPr>
                <w:rFonts w:ascii="Arial" w:hAnsi="Arial"/>
                <w:b/>
                <w:sz w:val="20"/>
              </w:rPr>
              <w:t>Política B</w:t>
            </w:r>
          </w:p>
        </w:tc>
        <w:tc>
          <w:tcPr>
            <w:tcW w:type="dxa" w:w="2351"/>
          </w:tcPr>
          <w:p>
            <w:pPr>
              <w:spacing w:after="40" w:line="240" w:lineRule="auto"/>
            </w:pPr>
            <w:r/>
            <w:r>
              <w:rPr>
                <w:rFonts w:ascii="Arial" w:hAnsi="Arial"/>
                <w:b/>
                <w:sz w:val="20"/>
              </w:rPr>
              <w:t>Diferencia</w:t>
            </w:r>
          </w:p>
        </w:tc>
      </w:tr>
      <w:tr>
        <w:tc>
          <w:tcPr>
            <w:tcW w:type="dxa" w:w="2351"/>
          </w:tcPr>
          <w:p>
            <w:pPr>
              <w:spacing w:after="40" w:line="240" w:lineRule="auto"/>
            </w:pPr>
            <w:r/>
            <w:r>
              <w:rPr>
                <w:rFonts w:ascii="Arial" w:hAnsi="Arial"/>
                <w:sz w:val="20"/>
              </w:rPr>
              <w:t>Costo de pedidos</w:t>
            </w:r>
          </w:p>
        </w:tc>
        <w:tc>
          <w:tcPr>
            <w:tcW w:type="dxa" w:w="2351"/>
          </w:tcPr>
          <w:p>
            <w:pPr>
              <w:spacing w:after="40" w:line="240" w:lineRule="auto"/>
            </w:pPr>
            <w:r/>
            <w:r>
              <w:rPr>
                <w:rFonts w:ascii="Arial" w:hAnsi="Arial"/>
                <w:sz w:val="20"/>
              </w:rPr>
              <w:t>57.199</w:t>
            </w:r>
          </w:p>
        </w:tc>
        <w:tc>
          <w:tcPr>
            <w:tcW w:type="dxa" w:w="2351"/>
          </w:tcPr>
          <w:p>
            <w:pPr>
              <w:spacing w:after="40" w:line="240" w:lineRule="auto"/>
            </w:pPr>
            <w:r/>
            <w:r>
              <w:rPr>
                <w:rFonts w:ascii="Arial" w:hAnsi="Arial"/>
                <w:sz w:val="20"/>
              </w:rPr>
              <w:t>57.199</w:t>
            </w:r>
          </w:p>
        </w:tc>
        <w:tc>
          <w:tcPr>
            <w:tcW w:type="dxa" w:w="2351"/>
          </w:tcPr>
          <w:p>
            <w:pPr>
              <w:spacing w:after="40" w:line="240" w:lineRule="auto"/>
            </w:pPr>
            <w:r/>
            <w:r>
              <w:rPr>
                <w:rFonts w:ascii="Arial" w:hAnsi="Arial"/>
                <w:sz w:val="20"/>
              </w:rPr>
              <w:t>0</w:t>
            </w:r>
          </w:p>
        </w:tc>
      </w:tr>
      <w:tr>
        <w:tc>
          <w:tcPr>
            <w:tcW w:type="dxa" w:w="2351"/>
          </w:tcPr>
          <w:p>
            <w:pPr>
              <w:spacing w:after="40" w:line="240" w:lineRule="auto"/>
            </w:pPr>
            <w:r/>
            <w:r>
              <w:rPr>
                <w:rFonts w:ascii="Arial" w:hAnsi="Arial"/>
                <w:sz w:val="20"/>
              </w:rPr>
              <w:t>Costo de almacenamiento</w:t>
            </w:r>
          </w:p>
        </w:tc>
        <w:tc>
          <w:tcPr>
            <w:tcW w:type="dxa" w:w="2351"/>
          </w:tcPr>
          <w:p>
            <w:pPr>
              <w:spacing w:after="40" w:line="240" w:lineRule="auto"/>
            </w:pPr>
            <w:r/>
            <w:r>
              <w:rPr>
                <w:rFonts w:ascii="Arial" w:hAnsi="Arial"/>
                <w:sz w:val="20"/>
              </w:rPr>
              <w:t>138.414</w:t>
            </w:r>
          </w:p>
        </w:tc>
        <w:tc>
          <w:tcPr>
            <w:tcW w:type="dxa" w:w="2351"/>
          </w:tcPr>
          <w:p>
            <w:pPr>
              <w:spacing w:after="40" w:line="240" w:lineRule="auto"/>
            </w:pPr>
            <w:r/>
            <w:r>
              <w:rPr>
                <w:rFonts w:ascii="Arial" w:hAnsi="Arial"/>
                <w:sz w:val="20"/>
              </w:rPr>
              <w:t>126.068</w:t>
            </w:r>
          </w:p>
        </w:tc>
        <w:tc>
          <w:tcPr>
            <w:tcW w:type="dxa" w:w="2351"/>
          </w:tcPr>
          <w:p>
            <w:pPr>
              <w:spacing w:after="40" w:line="240" w:lineRule="auto"/>
            </w:pPr>
            <w:r/>
            <w:r>
              <w:rPr>
                <w:rFonts w:ascii="Arial" w:hAnsi="Arial"/>
                <w:sz w:val="20"/>
              </w:rPr>
              <w:t>+12.346</w:t>
            </w:r>
          </w:p>
        </w:tc>
      </w:tr>
      <w:tr>
        <w:tc>
          <w:tcPr>
            <w:tcW w:type="dxa" w:w="2351"/>
          </w:tcPr>
          <w:p>
            <w:pPr>
              <w:spacing w:after="40" w:line="240" w:lineRule="auto"/>
            </w:pPr>
            <w:r/>
            <w:r>
              <w:rPr>
                <w:rFonts w:ascii="Arial" w:hAnsi="Arial"/>
                <w:sz w:val="20"/>
              </w:rPr>
              <w:t>Costo de déficit</w:t>
            </w:r>
          </w:p>
        </w:tc>
        <w:tc>
          <w:tcPr>
            <w:tcW w:type="dxa" w:w="2351"/>
          </w:tcPr>
          <w:p>
            <w:pPr>
              <w:spacing w:after="40" w:line="240" w:lineRule="auto"/>
            </w:pPr>
            <w:r/>
            <w:r>
              <w:rPr>
                <w:rFonts w:ascii="Arial" w:hAnsi="Arial"/>
                <w:sz w:val="20"/>
              </w:rPr>
              <w:t>15.939</w:t>
            </w:r>
          </w:p>
        </w:tc>
        <w:tc>
          <w:tcPr>
            <w:tcW w:type="dxa" w:w="2351"/>
          </w:tcPr>
          <w:p>
            <w:pPr>
              <w:spacing w:after="40" w:line="240" w:lineRule="auto"/>
            </w:pPr>
            <w:r/>
            <w:r>
              <w:rPr>
                <w:rFonts w:ascii="Arial" w:hAnsi="Arial"/>
                <w:sz w:val="20"/>
              </w:rPr>
              <w:t>35.535</w:t>
            </w:r>
          </w:p>
        </w:tc>
        <w:tc>
          <w:tcPr>
            <w:tcW w:type="dxa" w:w="2351"/>
          </w:tcPr>
          <w:p>
            <w:pPr>
              <w:spacing w:after="40" w:line="240" w:lineRule="auto"/>
            </w:pPr>
            <w:r/>
            <w:r>
              <w:rPr>
                <w:rFonts w:ascii="Arial" w:hAnsi="Arial"/>
                <w:sz w:val="20"/>
              </w:rPr>
              <w:t>−19.596</w:t>
            </w:r>
          </w:p>
        </w:tc>
      </w:tr>
      <w:tr>
        <w:tc>
          <w:tcPr>
            <w:tcW w:type="dxa" w:w="2351"/>
          </w:tcPr>
          <w:p>
            <w:pPr>
              <w:spacing w:after="40" w:line="240" w:lineRule="auto"/>
            </w:pPr>
            <w:r/>
            <w:r>
              <w:rPr>
                <w:rFonts w:ascii="Arial" w:hAnsi="Arial"/>
                <w:b/>
                <w:sz w:val="20"/>
              </w:rPr>
              <w:t>TC(q, r)</w:t>
            </w:r>
          </w:p>
        </w:tc>
        <w:tc>
          <w:tcPr>
            <w:tcW w:type="dxa" w:w="2351"/>
          </w:tcPr>
          <w:p>
            <w:pPr>
              <w:spacing w:after="40" w:line="240" w:lineRule="auto"/>
            </w:pPr>
            <w:r/>
            <w:r>
              <w:rPr>
                <w:rFonts w:ascii="Arial" w:hAnsi="Arial"/>
                <w:b/>
                <w:sz w:val="20"/>
              </w:rPr>
              <w:t>211.553</w:t>
            </w:r>
          </w:p>
        </w:tc>
        <w:tc>
          <w:tcPr>
            <w:tcW w:type="dxa" w:w="2351"/>
          </w:tcPr>
          <w:p>
            <w:pPr>
              <w:spacing w:after="40" w:line="240" w:lineRule="auto"/>
            </w:pPr>
            <w:r/>
            <w:r>
              <w:rPr>
                <w:rFonts w:ascii="Arial" w:hAnsi="Arial"/>
                <w:b/>
                <w:sz w:val="20"/>
              </w:rPr>
              <w:t>218.802</w:t>
            </w:r>
          </w:p>
        </w:tc>
        <w:tc>
          <w:tcPr>
            <w:tcW w:type="dxa" w:w="2351"/>
          </w:tcPr>
          <w:p>
            <w:pPr>
              <w:spacing w:after="40" w:line="240" w:lineRule="auto"/>
            </w:pPr>
            <w:r/>
            <w:r>
              <w:rPr>
                <w:rFonts w:ascii="Arial" w:hAnsi="Arial"/>
                <w:b/>
                <w:sz w:val="20"/>
              </w:rPr>
              <w:t>−7.250</w:t>
            </w:r>
          </w:p>
        </w:tc>
      </w:tr>
      <w:tr>
        <w:tc>
          <w:tcPr>
            <w:tcW w:type="dxa" w:w="2351"/>
          </w:tcPr>
          <w:p>
            <w:pPr>
              <w:spacing w:after="40" w:line="240" w:lineRule="auto"/>
            </w:pPr>
            <w:r/>
            <w:r>
              <w:rPr>
                <w:rFonts w:ascii="Arial" w:hAnsi="Arial"/>
                <w:sz w:val="20"/>
              </w:rPr>
              <w:t>Costo de compra (fuera de TC)</w:t>
            </w:r>
          </w:p>
        </w:tc>
        <w:tc>
          <w:tcPr>
            <w:tcW w:type="dxa" w:w="2351"/>
          </w:tcPr>
          <w:p>
            <w:pPr>
              <w:spacing w:after="40" w:line="240" w:lineRule="auto"/>
            </w:pPr>
            <w:r/>
            <w:r>
              <w:rPr>
                <w:rFonts w:ascii="Arial" w:hAnsi="Arial"/>
                <w:sz w:val="20"/>
              </w:rPr>
              <w:t>21.944.702</w:t>
            </w:r>
          </w:p>
        </w:tc>
        <w:tc>
          <w:tcPr>
            <w:tcW w:type="dxa" w:w="2351"/>
          </w:tcPr>
          <w:p>
            <w:pPr>
              <w:spacing w:after="40" w:line="240" w:lineRule="auto"/>
            </w:pPr>
            <w:r/>
            <w:r>
              <w:rPr>
                <w:rFonts w:ascii="Arial" w:hAnsi="Arial"/>
                <w:sz w:val="20"/>
              </w:rPr>
              <w:t>21.944.702</w:t>
            </w:r>
          </w:p>
        </w:tc>
        <w:tc>
          <w:tcPr>
            <w:tcW w:type="dxa" w:w="2351"/>
          </w:tcPr>
          <w:p>
            <w:pPr>
              <w:spacing w:after="40" w:line="240" w:lineRule="auto"/>
            </w:pPr>
            <w:r/>
            <w:r>
              <w:rPr>
                <w:rFonts w:ascii="Arial" w:hAnsi="Arial"/>
                <w:sz w:val="20"/>
              </w:rPr>
              <w:t>0</w:t>
            </w:r>
          </w:p>
        </w:tc>
      </w:tr>
      <w:tr>
        <w:tc>
          <w:tcPr>
            <w:tcW w:type="dxa" w:w="2351"/>
          </w:tcPr>
          <w:p>
            <w:pPr>
              <w:spacing w:after="40" w:line="240" w:lineRule="auto"/>
            </w:pPr>
            <w:r/>
            <w:r>
              <w:rPr>
                <w:rFonts w:ascii="Arial" w:hAnsi="Arial"/>
                <w:sz w:val="20"/>
              </w:rPr>
              <w:t>Costo total</w:t>
            </w:r>
          </w:p>
        </w:tc>
        <w:tc>
          <w:tcPr>
            <w:tcW w:type="dxa" w:w="2351"/>
          </w:tcPr>
          <w:p>
            <w:pPr>
              <w:spacing w:after="40" w:line="240" w:lineRule="auto"/>
            </w:pPr>
            <w:r/>
            <w:r>
              <w:rPr>
                <w:rFonts w:ascii="Arial" w:hAnsi="Arial"/>
                <w:sz w:val="20"/>
              </w:rPr>
              <w:t>22.156.254</w:t>
            </w:r>
          </w:p>
        </w:tc>
        <w:tc>
          <w:tcPr>
            <w:tcW w:type="dxa" w:w="2351"/>
          </w:tcPr>
          <w:p>
            <w:pPr>
              <w:spacing w:after="40" w:line="240" w:lineRule="auto"/>
            </w:pPr>
            <w:r/>
            <w:r>
              <w:rPr>
                <w:rFonts w:ascii="Arial" w:hAnsi="Arial"/>
                <w:sz w:val="20"/>
              </w:rPr>
              <w:t>22.163.504</w:t>
            </w:r>
          </w:p>
        </w:tc>
        <w:tc>
          <w:tcPr>
            <w:tcW w:type="dxa" w:w="2351"/>
          </w:tcPr>
          <w:p>
            <w:pPr>
              <w:spacing w:after="40" w:line="240" w:lineRule="auto"/>
            </w:pPr>
            <w:r/>
            <w:r>
              <w:rPr>
                <w:rFonts w:ascii="Arial" w:hAnsi="Arial"/>
                <w:sz w:val="20"/>
              </w:rPr>
              <w:t>−7.250</w:t>
            </w:r>
          </w:p>
        </w:tc>
      </w:tr>
    </w:tbl>
    <w:p/>
    <w:p>
      <w:r>
        <w:rPr>
          <w:rFonts w:ascii="Arial" w:hAnsi="Arial"/>
          <w:sz w:val="22"/>
        </w:rPr>
        <w:t>Insumo por insumo:</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76"/>
        <w:gridCol w:w="1176"/>
        <w:gridCol w:w="1176"/>
        <w:gridCol w:w="1176"/>
        <w:gridCol w:w="1176"/>
        <w:gridCol w:w="1176"/>
        <w:gridCol w:w="1176"/>
        <w:gridCol w:w="1176"/>
      </w:tblGrid>
      <w:tr>
        <w:tc>
          <w:tcPr>
            <w:tcW w:type="dxa" w:w="1176"/>
          </w:tcPr>
          <w:p>
            <w:pPr>
              <w:spacing w:after="40" w:line="240" w:lineRule="auto"/>
            </w:pPr>
            <w:r/>
            <w:r>
              <w:rPr>
                <w:rFonts w:ascii="Arial" w:hAnsi="Arial"/>
                <w:b/>
                <w:sz w:val="20"/>
              </w:rPr>
              <w:t>Insumo</w:t>
            </w:r>
          </w:p>
        </w:tc>
        <w:tc>
          <w:tcPr>
            <w:tcW w:type="dxa" w:w="1176"/>
          </w:tcPr>
          <w:p>
            <w:pPr>
              <w:spacing w:after="40" w:line="240" w:lineRule="auto"/>
            </w:pPr>
            <w:r/>
            <w:r>
              <w:rPr>
                <w:rFonts w:ascii="Arial" w:hAnsi="Arial"/>
                <w:b/>
                <w:sz w:val="20"/>
              </w:rPr>
              <w:t>Stock seg. A</w:t>
            </w:r>
          </w:p>
        </w:tc>
        <w:tc>
          <w:tcPr>
            <w:tcW w:type="dxa" w:w="1176"/>
          </w:tcPr>
          <w:p>
            <w:pPr>
              <w:spacing w:after="40" w:line="240" w:lineRule="auto"/>
            </w:pPr>
            <w:r/>
            <w:r>
              <w:rPr>
                <w:rFonts w:ascii="Arial" w:hAnsi="Arial"/>
                <w:b/>
                <w:sz w:val="20"/>
              </w:rPr>
              <w:t>Stock seg. B</w:t>
            </w:r>
          </w:p>
        </w:tc>
        <w:tc>
          <w:tcPr>
            <w:tcW w:type="dxa" w:w="1176"/>
          </w:tcPr>
          <w:p>
            <w:pPr>
              <w:spacing w:after="40" w:line="240" w:lineRule="auto"/>
            </w:pPr>
            <w:r/>
            <w:r>
              <w:rPr>
                <w:rFonts w:ascii="Arial" w:hAnsi="Arial"/>
                <w:b/>
                <w:sz w:val="20"/>
              </w:rPr>
              <w:t>SLM₁ A</w:t>
            </w:r>
          </w:p>
        </w:tc>
        <w:tc>
          <w:tcPr>
            <w:tcW w:type="dxa" w:w="1176"/>
          </w:tcPr>
          <w:p>
            <w:pPr>
              <w:spacing w:after="40" w:line="240" w:lineRule="auto"/>
            </w:pPr>
            <w:r/>
            <w:r>
              <w:rPr>
                <w:rFonts w:ascii="Arial" w:hAnsi="Arial"/>
                <w:b/>
                <w:sz w:val="20"/>
              </w:rPr>
              <w:t>SLM₁ B</w:t>
            </w:r>
          </w:p>
        </w:tc>
        <w:tc>
          <w:tcPr>
            <w:tcW w:type="dxa" w:w="1176"/>
          </w:tcPr>
          <w:p>
            <w:pPr>
              <w:spacing w:after="40" w:line="240" w:lineRule="auto"/>
            </w:pPr>
            <w:r/>
            <w:r>
              <w:rPr>
                <w:rFonts w:ascii="Arial" w:hAnsi="Arial"/>
                <w:b/>
                <w:sz w:val="20"/>
              </w:rPr>
              <w:t>TC A</w:t>
            </w:r>
          </w:p>
        </w:tc>
        <w:tc>
          <w:tcPr>
            <w:tcW w:type="dxa" w:w="1176"/>
          </w:tcPr>
          <w:p>
            <w:pPr>
              <w:spacing w:after="40" w:line="240" w:lineRule="auto"/>
            </w:pPr>
            <w:r/>
            <w:r>
              <w:rPr>
                <w:rFonts w:ascii="Arial" w:hAnsi="Arial"/>
                <w:b/>
                <w:sz w:val="20"/>
              </w:rPr>
              <w:t>TC B</w:t>
            </w:r>
          </w:p>
        </w:tc>
        <w:tc>
          <w:tcPr>
            <w:tcW w:type="dxa" w:w="1176"/>
          </w:tcPr>
          <w:p>
            <w:pPr>
              <w:spacing w:after="40" w:line="240" w:lineRule="auto"/>
            </w:pPr>
            <w:r/>
            <w:r>
              <w:rPr>
                <w:rFonts w:ascii="Arial" w:hAnsi="Arial"/>
                <w:b/>
                <w:sz w:val="20"/>
              </w:rPr>
              <w:t>Dif.</w:t>
            </w:r>
          </w:p>
        </w:tc>
      </w:tr>
      <w:tr>
        <w:tc>
          <w:tcPr>
            <w:tcW w:type="dxa" w:w="1176"/>
          </w:tcPr>
          <w:p>
            <w:pPr>
              <w:spacing w:after="40" w:line="240" w:lineRule="auto"/>
            </w:pPr>
            <w:r/>
            <w:r>
              <w:rPr>
                <w:rFonts w:ascii="Arial" w:hAnsi="Arial"/>
                <w:sz w:val="20"/>
              </w:rPr>
              <w:t>Motor V8</w:t>
            </w:r>
          </w:p>
        </w:tc>
        <w:tc>
          <w:tcPr>
            <w:tcW w:type="dxa" w:w="1176"/>
          </w:tcPr>
          <w:p>
            <w:pPr>
              <w:spacing w:after="40" w:line="240" w:lineRule="auto"/>
            </w:pPr>
            <w:r/>
            <w:r>
              <w:rPr>
                <w:rFonts w:ascii="Arial" w:hAnsi="Arial"/>
                <w:sz w:val="20"/>
              </w:rPr>
              <w:t>8,67</w:t>
            </w:r>
          </w:p>
        </w:tc>
        <w:tc>
          <w:tcPr>
            <w:tcW w:type="dxa" w:w="1176"/>
          </w:tcPr>
          <w:p>
            <w:pPr>
              <w:spacing w:after="40" w:line="240" w:lineRule="auto"/>
            </w:pPr>
            <w:r/>
            <w:r>
              <w:rPr>
                <w:rFonts w:ascii="Arial" w:hAnsi="Arial"/>
                <w:sz w:val="20"/>
              </w:rPr>
              <w:t>7,74</w:t>
            </w:r>
          </w:p>
        </w:tc>
        <w:tc>
          <w:tcPr>
            <w:tcW w:type="dxa" w:w="1176"/>
          </w:tcPr>
          <w:p>
            <w:pPr>
              <w:spacing w:after="40" w:line="240" w:lineRule="auto"/>
            </w:pPr>
            <w:r/>
            <w:r>
              <w:rPr>
                <w:rFonts w:ascii="Arial" w:hAnsi="Arial"/>
                <w:sz w:val="20"/>
              </w:rPr>
              <w:t>99,56%</w:t>
            </w:r>
          </w:p>
        </w:tc>
        <w:tc>
          <w:tcPr>
            <w:tcW w:type="dxa" w:w="1176"/>
          </w:tcPr>
          <w:p>
            <w:pPr>
              <w:spacing w:after="40" w:line="240" w:lineRule="auto"/>
            </w:pPr>
            <w:r/>
            <w:r>
              <w:rPr>
                <w:rFonts w:ascii="Arial" w:hAnsi="Arial"/>
                <w:sz w:val="20"/>
              </w:rPr>
              <w:t>99,28%</w:t>
            </w:r>
          </w:p>
        </w:tc>
        <w:tc>
          <w:tcPr>
            <w:tcW w:type="dxa" w:w="1176"/>
          </w:tcPr>
          <w:p>
            <w:pPr>
              <w:spacing w:after="40" w:line="240" w:lineRule="auto"/>
            </w:pPr>
            <w:r/>
            <w:r>
              <w:rPr>
                <w:rFonts w:ascii="Arial" w:hAnsi="Arial"/>
                <w:sz w:val="20"/>
              </w:rPr>
              <w:t>43.620</w:t>
            </w:r>
          </w:p>
        </w:tc>
        <w:tc>
          <w:tcPr>
            <w:tcW w:type="dxa" w:w="1176"/>
          </w:tcPr>
          <w:p>
            <w:pPr>
              <w:spacing w:after="40" w:line="240" w:lineRule="auto"/>
            </w:pPr>
            <w:r/>
            <w:r>
              <w:rPr>
                <w:rFonts w:ascii="Arial" w:hAnsi="Arial"/>
                <w:sz w:val="20"/>
              </w:rPr>
              <w:t>44.042</w:t>
            </w:r>
          </w:p>
        </w:tc>
        <w:tc>
          <w:tcPr>
            <w:tcW w:type="dxa" w:w="1176"/>
          </w:tcPr>
          <w:p>
            <w:pPr>
              <w:spacing w:after="40" w:line="240" w:lineRule="auto"/>
            </w:pPr>
            <w:r/>
            <w:r>
              <w:rPr>
                <w:rFonts w:ascii="Arial" w:hAnsi="Arial"/>
                <w:sz w:val="20"/>
              </w:rPr>
              <w:t>+1,0%</w:t>
            </w:r>
          </w:p>
        </w:tc>
      </w:tr>
      <w:tr>
        <w:tc>
          <w:tcPr>
            <w:tcW w:type="dxa" w:w="1176"/>
          </w:tcPr>
          <w:p>
            <w:pPr>
              <w:spacing w:after="40" w:line="240" w:lineRule="auto"/>
            </w:pPr>
            <w:r/>
            <w:r>
              <w:rPr>
                <w:rFonts w:ascii="Arial" w:hAnsi="Arial"/>
                <w:sz w:val="20"/>
              </w:rPr>
              <w:t>Motor Raro</w:t>
            </w:r>
          </w:p>
        </w:tc>
        <w:tc>
          <w:tcPr>
            <w:tcW w:type="dxa" w:w="1176"/>
          </w:tcPr>
          <w:p>
            <w:pPr>
              <w:spacing w:after="40" w:line="240" w:lineRule="auto"/>
            </w:pPr>
            <w:r/>
            <w:r>
              <w:rPr>
                <w:rFonts w:ascii="Arial" w:hAnsi="Arial"/>
                <w:sz w:val="20"/>
              </w:rPr>
              <w:t>7,97</w:t>
            </w:r>
          </w:p>
        </w:tc>
        <w:tc>
          <w:tcPr>
            <w:tcW w:type="dxa" w:w="1176"/>
          </w:tcPr>
          <w:p>
            <w:pPr>
              <w:spacing w:after="40" w:line="240" w:lineRule="auto"/>
            </w:pPr>
            <w:r/>
            <w:r>
              <w:rPr>
                <w:rFonts w:ascii="Arial" w:hAnsi="Arial"/>
                <w:sz w:val="20"/>
              </w:rPr>
              <w:t>6,83</w:t>
            </w:r>
          </w:p>
        </w:tc>
        <w:tc>
          <w:tcPr>
            <w:tcW w:type="dxa" w:w="1176"/>
          </w:tcPr>
          <w:p>
            <w:pPr>
              <w:spacing w:after="40" w:line="240" w:lineRule="auto"/>
            </w:pPr>
            <w:r/>
            <w:r>
              <w:rPr>
                <w:rFonts w:ascii="Arial" w:hAnsi="Arial"/>
                <w:sz w:val="20"/>
              </w:rPr>
              <w:t>99,53%</w:t>
            </w:r>
          </w:p>
        </w:tc>
        <w:tc>
          <w:tcPr>
            <w:tcW w:type="dxa" w:w="1176"/>
          </w:tcPr>
          <w:p>
            <w:pPr>
              <w:spacing w:after="40" w:line="240" w:lineRule="auto"/>
            </w:pPr>
            <w:r/>
            <w:r>
              <w:rPr>
                <w:rFonts w:ascii="Arial" w:hAnsi="Arial"/>
                <w:sz w:val="20"/>
              </w:rPr>
              <w:t>99,08%</w:t>
            </w:r>
          </w:p>
        </w:tc>
        <w:tc>
          <w:tcPr>
            <w:tcW w:type="dxa" w:w="1176"/>
          </w:tcPr>
          <w:p>
            <w:pPr>
              <w:spacing w:after="40" w:line="240" w:lineRule="auto"/>
            </w:pPr>
            <w:r/>
            <w:r>
              <w:rPr>
                <w:rFonts w:ascii="Arial" w:hAnsi="Arial"/>
                <w:sz w:val="20"/>
              </w:rPr>
              <w:t>45.481</w:t>
            </w:r>
          </w:p>
        </w:tc>
        <w:tc>
          <w:tcPr>
            <w:tcW w:type="dxa" w:w="1176"/>
          </w:tcPr>
          <w:p>
            <w:pPr>
              <w:spacing w:after="40" w:line="240" w:lineRule="auto"/>
            </w:pPr>
            <w:r/>
            <w:r>
              <w:rPr>
                <w:rFonts w:ascii="Arial" w:hAnsi="Arial"/>
                <w:sz w:val="20"/>
              </w:rPr>
              <w:t>46.503</w:t>
            </w:r>
          </w:p>
        </w:tc>
        <w:tc>
          <w:tcPr>
            <w:tcW w:type="dxa" w:w="1176"/>
          </w:tcPr>
          <w:p>
            <w:pPr>
              <w:spacing w:after="40" w:line="240" w:lineRule="auto"/>
            </w:pPr>
            <w:r/>
            <w:r>
              <w:rPr>
                <w:rFonts w:ascii="Arial" w:hAnsi="Arial"/>
                <w:sz w:val="20"/>
              </w:rPr>
              <w:t>+2,2%</w:t>
            </w:r>
          </w:p>
        </w:tc>
      </w:tr>
      <w:tr>
        <w:tc>
          <w:tcPr>
            <w:tcW w:type="dxa" w:w="1176"/>
          </w:tcPr>
          <w:p>
            <w:pPr>
              <w:spacing w:after="40" w:line="240" w:lineRule="auto"/>
            </w:pPr>
            <w:r/>
            <w:r>
              <w:rPr>
                <w:rFonts w:ascii="Arial" w:hAnsi="Arial"/>
                <w:sz w:val="20"/>
              </w:rPr>
              <w:t>Carrocería Artesanal</w:t>
            </w:r>
          </w:p>
        </w:tc>
        <w:tc>
          <w:tcPr>
            <w:tcW w:type="dxa" w:w="1176"/>
          </w:tcPr>
          <w:p>
            <w:pPr>
              <w:spacing w:after="40" w:line="240" w:lineRule="auto"/>
            </w:pPr>
            <w:r/>
            <w:r>
              <w:rPr>
                <w:rFonts w:ascii="Arial" w:hAnsi="Arial"/>
                <w:sz w:val="20"/>
              </w:rPr>
              <w:t>7,09</w:t>
            </w:r>
          </w:p>
        </w:tc>
        <w:tc>
          <w:tcPr>
            <w:tcW w:type="dxa" w:w="1176"/>
          </w:tcPr>
          <w:p>
            <w:pPr>
              <w:spacing w:after="40" w:line="240" w:lineRule="auto"/>
            </w:pPr>
            <w:r/>
            <w:r>
              <w:rPr>
                <w:rFonts w:ascii="Arial" w:hAnsi="Arial"/>
                <w:sz w:val="20"/>
              </w:rPr>
              <w:t>6,24</w:t>
            </w:r>
          </w:p>
        </w:tc>
        <w:tc>
          <w:tcPr>
            <w:tcW w:type="dxa" w:w="1176"/>
          </w:tcPr>
          <w:p>
            <w:pPr>
              <w:spacing w:after="40" w:line="240" w:lineRule="auto"/>
            </w:pPr>
            <w:r/>
            <w:r>
              <w:rPr>
                <w:rFonts w:ascii="Arial" w:hAnsi="Arial"/>
                <w:sz w:val="20"/>
              </w:rPr>
              <w:t>99,46%</w:t>
            </w:r>
          </w:p>
        </w:tc>
        <w:tc>
          <w:tcPr>
            <w:tcW w:type="dxa" w:w="1176"/>
          </w:tcPr>
          <w:p>
            <w:pPr>
              <w:spacing w:after="40" w:line="240" w:lineRule="auto"/>
            </w:pPr>
            <w:r/>
            <w:r>
              <w:rPr>
                <w:rFonts w:ascii="Arial" w:hAnsi="Arial"/>
                <w:sz w:val="20"/>
              </w:rPr>
              <w:t>99,06%</w:t>
            </w:r>
          </w:p>
        </w:tc>
        <w:tc>
          <w:tcPr>
            <w:tcW w:type="dxa" w:w="1176"/>
          </w:tcPr>
          <w:p>
            <w:pPr>
              <w:spacing w:after="40" w:line="240" w:lineRule="auto"/>
            </w:pPr>
            <w:r/>
            <w:r>
              <w:rPr>
                <w:rFonts w:ascii="Arial" w:hAnsi="Arial"/>
                <w:sz w:val="20"/>
              </w:rPr>
              <w:t>50.889</w:t>
            </w:r>
          </w:p>
        </w:tc>
        <w:tc>
          <w:tcPr>
            <w:tcW w:type="dxa" w:w="1176"/>
          </w:tcPr>
          <w:p>
            <w:pPr>
              <w:spacing w:after="40" w:line="240" w:lineRule="auto"/>
            </w:pPr>
            <w:r/>
            <w:r>
              <w:rPr>
                <w:rFonts w:ascii="Arial" w:hAnsi="Arial"/>
                <w:sz w:val="20"/>
              </w:rPr>
              <w:t>51.633</w:t>
            </w:r>
          </w:p>
        </w:tc>
        <w:tc>
          <w:tcPr>
            <w:tcW w:type="dxa" w:w="1176"/>
          </w:tcPr>
          <w:p>
            <w:pPr>
              <w:spacing w:after="40" w:line="240" w:lineRule="auto"/>
            </w:pPr>
            <w:r/>
            <w:r>
              <w:rPr>
                <w:rFonts w:ascii="Arial" w:hAnsi="Arial"/>
                <w:sz w:val="20"/>
              </w:rPr>
              <w:t>+1,5%</w:t>
            </w:r>
          </w:p>
        </w:tc>
      </w:tr>
      <w:tr>
        <w:tc>
          <w:tcPr>
            <w:tcW w:type="dxa" w:w="1176"/>
          </w:tcPr>
          <w:p>
            <w:pPr>
              <w:spacing w:after="40" w:line="240" w:lineRule="auto"/>
            </w:pPr>
            <w:r/>
            <w:r>
              <w:rPr>
                <w:rFonts w:ascii="Arial" w:hAnsi="Arial"/>
                <w:sz w:val="20"/>
              </w:rPr>
              <w:t>Carrocería Estándar</w:t>
            </w:r>
          </w:p>
        </w:tc>
        <w:tc>
          <w:tcPr>
            <w:tcW w:type="dxa" w:w="1176"/>
          </w:tcPr>
          <w:p>
            <w:pPr>
              <w:spacing w:after="40" w:line="240" w:lineRule="auto"/>
            </w:pPr>
            <w:r/>
            <w:r>
              <w:rPr>
                <w:rFonts w:ascii="Arial" w:hAnsi="Arial"/>
                <w:sz w:val="20"/>
              </w:rPr>
              <w:t>7,36</w:t>
            </w:r>
          </w:p>
        </w:tc>
        <w:tc>
          <w:tcPr>
            <w:tcW w:type="dxa" w:w="1176"/>
          </w:tcPr>
          <w:p>
            <w:pPr>
              <w:spacing w:after="40" w:line="240" w:lineRule="auto"/>
            </w:pPr>
            <w:r/>
            <w:r>
              <w:rPr>
                <w:rFonts w:ascii="Arial" w:hAnsi="Arial"/>
                <w:sz w:val="20"/>
              </w:rPr>
              <w:t>6,32</w:t>
            </w:r>
          </w:p>
        </w:tc>
        <w:tc>
          <w:tcPr>
            <w:tcW w:type="dxa" w:w="1176"/>
          </w:tcPr>
          <w:p>
            <w:pPr>
              <w:spacing w:after="40" w:line="240" w:lineRule="auto"/>
            </w:pPr>
            <w:r/>
            <w:r>
              <w:rPr>
                <w:rFonts w:ascii="Arial" w:hAnsi="Arial"/>
                <w:sz w:val="20"/>
              </w:rPr>
              <w:t>99,75%</w:t>
            </w:r>
          </w:p>
        </w:tc>
        <w:tc>
          <w:tcPr>
            <w:tcW w:type="dxa" w:w="1176"/>
          </w:tcPr>
          <w:p>
            <w:pPr>
              <w:spacing w:after="40" w:line="240" w:lineRule="auto"/>
            </w:pPr>
            <w:r/>
            <w:r>
              <w:rPr>
                <w:rFonts w:ascii="Arial" w:hAnsi="Arial"/>
                <w:sz w:val="20"/>
              </w:rPr>
              <w:t>99,50%</w:t>
            </w:r>
          </w:p>
        </w:tc>
        <w:tc>
          <w:tcPr>
            <w:tcW w:type="dxa" w:w="1176"/>
          </w:tcPr>
          <w:p>
            <w:pPr>
              <w:spacing w:after="40" w:line="240" w:lineRule="auto"/>
            </w:pPr>
            <w:r/>
            <w:r>
              <w:rPr>
                <w:rFonts w:ascii="Arial" w:hAnsi="Arial"/>
                <w:sz w:val="20"/>
              </w:rPr>
              <w:t>32.462</w:t>
            </w:r>
          </w:p>
        </w:tc>
        <w:tc>
          <w:tcPr>
            <w:tcW w:type="dxa" w:w="1176"/>
          </w:tcPr>
          <w:p>
            <w:pPr>
              <w:spacing w:after="40" w:line="240" w:lineRule="auto"/>
            </w:pPr>
            <w:r/>
            <w:r>
              <w:rPr>
                <w:rFonts w:ascii="Arial" w:hAnsi="Arial"/>
                <w:sz w:val="20"/>
              </w:rPr>
              <w:t>32.960</w:t>
            </w:r>
          </w:p>
        </w:tc>
        <w:tc>
          <w:tcPr>
            <w:tcW w:type="dxa" w:w="1176"/>
          </w:tcPr>
          <w:p>
            <w:pPr>
              <w:spacing w:after="40" w:line="240" w:lineRule="auto"/>
            </w:pPr>
            <w:r/>
            <w:r>
              <w:rPr>
                <w:rFonts w:ascii="Arial" w:hAnsi="Arial"/>
                <w:sz w:val="20"/>
              </w:rPr>
              <w:t>+1,5%</w:t>
            </w:r>
          </w:p>
        </w:tc>
      </w:tr>
      <w:tr>
        <w:tc>
          <w:tcPr>
            <w:tcW w:type="dxa" w:w="1176"/>
          </w:tcPr>
          <w:p>
            <w:pPr>
              <w:spacing w:after="40" w:line="240" w:lineRule="auto"/>
            </w:pPr>
            <w:r/>
            <w:r>
              <w:rPr>
                <w:rFonts w:ascii="Arial" w:hAnsi="Arial"/>
                <w:sz w:val="20"/>
              </w:rPr>
              <w:t>Tapicería</w:t>
            </w:r>
          </w:p>
        </w:tc>
        <w:tc>
          <w:tcPr>
            <w:tcW w:type="dxa" w:w="1176"/>
          </w:tcPr>
          <w:p>
            <w:pPr>
              <w:spacing w:after="40" w:line="240" w:lineRule="auto"/>
            </w:pPr>
            <w:r/>
            <w:r>
              <w:rPr>
                <w:rFonts w:ascii="Arial" w:hAnsi="Arial"/>
                <w:sz w:val="20"/>
              </w:rPr>
              <w:t>19,56</w:t>
            </w:r>
          </w:p>
        </w:tc>
        <w:tc>
          <w:tcPr>
            <w:tcW w:type="dxa" w:w="1176"/>
          </w:tcPr>
          <w:p>
            <w:pPr>
              <w:spacing w:after="40" w:line="240" w:lineRule="auto"/>
            </w:pPr>
            <w:r/>
            <w:r>
              <w:rPr>
                <w:rFonts w:ascii="Arial" w:hAnsi="Arial"/>
                <w:sz w:val="20"/>
              </w:rPr>
              <w:t>14,51</w:t>
            </w:r>
          </w:p>
        </w:tc>
        <w:tc>
          <w:tcPr>
            <w:tcW w:type="dxa" w:w="1176"/>
          </w:tcPr>
          <w:p>
            <w:pPr>
              <w:spacing w:after="40" w:line="240" w:lineRule="auto"/>
            </w:pPr>
            <w:r/>
            <w:r>
              <w:rPr>
                <w:rFonts w:ascii="Arial" w:hAnsi="Arial"/>
                <w:sz w:val="20"/>
              </w:rPr>
              <w:t>99,84%</w:t>
            </w:r>
          </w:p>
        </w:tc>
        <w:tc>
          <w:tcPr>
            <w:tcW w:type="dxa" w:w="1176"/>
          </w:tcPr>
          <w:p>
            <w:pPr>
              <w:spacing w:after="40" w:line="240" w:lineRule="auto"/>
            </w:pPr>
            <w:r/>
            <w:r>
              <w:rPr>
                <w:rFonts w:ascii="Arial" w:hAnsi="Arial"/>
                <w:sz w:val="20"/>
              </w:rPr>
              <w:t>99,30%</w:t>
            </w:r>
          </w:p>
        </w:tc>
        <w:tc>
          <w:tcPr>
            <w:tcW w:type="dxa" w:w="1176"/>
          </w:tcPr>
          <w:p>
            <w:pPr>
              <w:spacing w:after="40" w:line="240" w:lineRule="auto"/>
            </w:pPr>
            <w:r/>
            <w:r>
              <w:rPr>
                <w:rFonts w:ascii="Arial" w:hAnsi="Arial"/>
                <w:sz w:val="20"/>
              </w:rPr>
              <w:t>39.101</w:t>
            </w:r>
          </w:p>
        </w:tc>
        <w:tc>
          <w:tcPr>
            <w:tcW w:type="dxa" w:w="1176"/>
          </w:tcPr>
          <w:p>
            <w:pPr>
              <w:spacing w:after="40" w:line="240" w:lineRule="auto"/>
            </w:pPr>
            <w:r/>
            <w:r>
              <w:rPr>
                <w:rFonts w:ascii="Arial" w:hAnsi="Arial"/>
                <w:sz w:val="20"/>
              </w:rPr>
              <w:t>43.665</w:t>
            </w:r>
          </w:p>
        </w:tc>
        <w:tc>
          <w:tcPr>
            <w:tcW w:type="dxa" w:w="1176"/>
          </w:tcPr>
          <w:p>
            <w:pPr>
              <w:spacing w:after="40" w:line="240" w:lineRule="auto"/>
            </w:pPr>
            <w:r/>
            <w:r>
              <w:rPr>
                <w:rFonts w:ascii="Arial" w:hAnsi="Arial"/>
                <w:sz w:val="20"/>
              </w:rPr>
              <w:t>+11,7%</w:t>
            </w:r>
          </w:p>
        </w:tc>
      </w:tr>
    </w:tbl>
    <w:p/>
    <w:p>
      <w:r>
        <w:rPr>
          <w:rFonts w:ascii="Arial" w:hAnsi="Arial"/>
          <w:b/>
          <w:sz w:val="22"/>
        </w:rPr>
        <w:t>La Política A ahorra USD 7.250 al año</w:t>
      </w:r>
      <w:r>
        <w:rPr>
          <w:rFonts w:ascii="Arial" w:hAnsi="Arial"/>
          <w:sz w:val="22"/>
        </w:rPr>
        <w:t>, un 3,3% del costo controlable de inventario.</w:t>
      </w:r>
    </w:p>
    <w:p>
      <w:r>
        <w:rPr>
          <w:rFonts w:ascii="Arial" w:hAnsi="Arial"/>
          <w:sz w:val="22"/>
        </w:rPr>
        <w:t>Hay dos observaciones que conviene hacer sobre este resultado.</w:t>
      </w:r>
    </w:p>
    <w:p>
      <w:r>
        <w:rPr>
          <w:rFonts w:ascii="Arial" w:hAnsi="Arial"/>
          <w:b/>
          <w:sz w:val="22"/>
        </w:rPr>
        <w:t>La primera es que la Política A no ahorra en todo: reasigna.</w:t>
      </w:r>
      <w:r>
        <w:rPr>
          <w:rFonts w:ascii="Arial" w:hAnsi="Arial"/>
          <w:sz w:val="22"/>
        </w:rPr>
        <w:t xml:space="preserve"> Gasta USD 12.346 más en almacenamiento y USD 19.596 menos en déficit. Es exactamente la transacción entre costo de almacenamiento y costo de déficit que Winston ilustra en la figura 4 de la página 894: al llevar más stock de seguridad se paga más por conservarlo, pero se evita proporcionalmente más en compensaciones a los clientes.</w:t>
      </w:r>
    </w:p>
    <w:p>
      <w:r>
        <w:rPr>
          <w:rFonts w:ascii="Arial" w:hAnsi="Arial"/>
          <w:b/>
          <w:sz w:val="22"/>
        </w:rPr>
        <w:t>La segunda es que el 95% de la Política B protege menos de lo que aparenta.</w:t>
      </w:r>
      <w:r>
        <w:rPr>
          <w:rFonts w:ascii="Arial" w:hAnsi="Arial"/>
          <w:sz w:val="22"/>
        </w:rPr>
        <w:t xml:space="preserve"> Es un objetivo por cada ciclo de reposición. Con 35 a 42 reposiciones al año, un 5% de riesgo por ciclo se traduce en un SLM₂ de entre 1,75 y 2,10 quiebres de stock anuales. La Política A, al tolerar una probabilidad de entre 0,013 y 0,033, baja ese número al rango de 0,47 a 1,34.</w:t>
      </w:r>
    </w:p>
    <w:p>
      <w:r>
        <w:rPr>
          <w:rFonts w:ascii="Arial" w:hAnsi="Arial"/>
          <w:sz w:val="22"/>
        </w:rPr>
        <w:t>Un último comentario sobre por qué el costo de compra va aparte. Si lo incluyéramos, la diferencia entre las dos políticas sería del 0,03% sobre el total, y cualquier diferencia de gestión quedaría completamente tapada por un término que es idéntico en ambos casos. Por eso Winston lo excluye de TC(q, r), y por eso lo reportamos aparte.</w:t>
      </w:r>
    </w:p>
    <w:p>
      <w:r>
        <w:rPr>
          <w:rFonts w:ascii="Arial" w:hAnsi="Arial"/>
          <w:sz w:val="22"/>
        </w:rPr>
        <w:t>Para tener la referencia completa: si en lugar de los cinco insumos de Categoría A tomáramos los once del catálogo, el costo controlable sería de USD 323.148 para la Política A y USD 360.327 para la B.</w:t>
      </w:r>
    </w:p>
    <w:p>
      <w:pPr>
        <w:keepNext/>
        <w:spacing w:before="400" w:after="120"/>
      </w:pPr>
      <w:r>
        <w:rPr>
          <w:rFonts w:ascii="Arial" w:hAnsi="Arial"/>
          <w:b w:val="0"/>
          <w:sz w:val="40"/>
        </w:rPr>
        <w:t>8. Capacidad Mínima de Almacén</w:t>
      </w:r>
    </w:p>
    <w:p>
      <w:r>
        <w:rPr>
          <w:rFonts w:ascii="Arial" w:hAnsi="Arial"/>
          <w:sz w:val="22"/>
        </w:rPr>
        <w:t>En pos de la necesidad operacional de la empresa de entender qué necesidad de espacio en almacén tendrá que satisfacer, se propone lo siguiente.</w:t>
      </w:r>
    </w:p>
    <w:p>
      <w:pPr>
        <w:keepNext/>
        <w:spacing w:before="360" w:after="120"/>
      </w:pPr>
      <w:r>
        <w:rPr>
          <w:rFonts w:ascii="Arial" w:hAnsi="Arial"/>
          <w:b/>
          <w:sz w:val="32"/>
        </w:rPr>
        <w:t>8.1. El espacio teórico necesario</w:t>
      </w:r>
    </w:p>
    <w:p>
      <w:r>
        <w:rPr>
          <w:rFonts w:ascii="Arial" w:hAnsi="Arial"/>
          <w:sz w:val="22"/>
        </w:rPr>
        <w:t>Primero hay que definir cuánto stock hay que guardar realmente. En un sistema (r, q) el inventario físico llega a su máximo justo en el momento en que entra un pedido, y en ese instante vale:</w:t>
      </w:r>
    </w:p>
    <w:p>
      <w:pPr>
        <w:ind w:left="567"/>
      </w:pPr>
      <w:r>
        <w:rPr>
          <w:rFonts w:ascii="Arial" w:hAnsi="Arial"/>
          <w:b/>
          <w:i/>
          <w:sz w:val="22"/>
        </w:rPr>
        <w:t>Inventario máximo = q + (r − E(X))</w:t>
      </w:r>
    </w:p>
    <w:p>
      <w:r>
        <w:rPr>
          <w:rFonts w:ascii="Arial" w:hAnsi="Arial"/>
          <w:sz w:val="22"/>
        </w:rPr>
        <w:t>O sea, el lote que acaba de llegar más el stock de seguridad que todavía quedaba. Sale de la misma cuenta que hace Winston en la página 892 al construir la ecuación (11).</w:t>
      </w:r>
    </w:p>
    <w:p>
      <w:r>
        <w:rPr>
          <w:rFonts w:ascii="Arial" w:hAnsi="Arial"/>
          <w:sz w:val="22"/>
        </w:rPr>
        <w:t xml:space="preserve">Es importante no sumarle el punto de reabastecimiento completo. La demanda del plazo de entrega que </w:t>
      </w:r>
      <w:r>
        <w:rPr>
          <w:rFonts w:ascii="Arial" w:hAnsi="Arial"/>
          <w:i/>
          <w:sz w:val="22"/>
        </w:rPr>
        <w:t>r</w:t>
      </w:r>
      <w:r>
        <w:rPr>
          <w:rFonts w:ascii="Arial" w:hAnsi="Arial"/>
          <w:sz w:val="22"/>
        </w:rPr>
        <w:t xml:space="preserve"> cubre se va consumiendo mientras el pedido está en camino, así que nunca está toda junta en el estante. Y además </w:t>
      </w:r>
      <w:r>
        <w:rPr>
          <w:rFonts w:ascii="Arial" w:hAnsi="Arial"/>
          <w:i/>
          <w:sz w:val="22"/>
        </w:rPr>
        <w:t>r</w:t>
      </w:r>
      <w:r>
        <w:rPr>
          <w:rFonts w:ascii="Arial" w:hAnsi="Arial"/>
          <w:sz w:val="22"/>
        </w:rPr>
        <w:t xml:space="preserve"> ya lleva el stock de seguridad adentro, con lo cual sumarlo otra vez sería contarlo dos veces.</w:t>
      </w:r>
    </w:p>
    <w:p>
      <w:r>
        <w:rPr>
          <w:rFonts w:ascii="Arial" w:hAnsi="Arial"/>
          <w:sz w:val="22"/>
        </w:rPr>
        <w:t xml:space="preserve">Acá tomamos los </w:t>
      </w:r>
      <w:r>
        <w:rPr>
          <w:rFonts w:ascii="Arial" w:hAnsi="Arial"/>
          <w:b/>
          <w:sz w:val="22"/>
        </w:rPr>
        <w:t>once insumos del catálogo</w:t>
      </w:r>
      <w:r>
        <w:rPr>
          <w:rFonts w:ascii="Arial" w:hAnsi="Arial"/>
          <w:sz w:val="22"/>
        </w:rPr>
        <w:t xml:space="preserve"> y no solo los cinco de Categoría A. La razón es sencilla: los modelos de inventario se aplican sobre la Categoría A porque ahí está concentrado el valor, pero el depósito tiene que guardar todo lo que entra.</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68"/>
        <w:gridCol w:w="1568"/>
        <w:gridCol w:w="1568"/>
        <w:gridCol w:w="1568"/>
        <w:gridCol w:w="1568"/>
        <w:gridCol w:w="1568"/>
      </w:tblGrid>
      <w:tr>
        <w:tc>
          <w:tcPr>
            <w:tcW w:type="dxa" w:w="1568"/>
          </w:tcPr>
          <w:p>
            <w:pPr>
              <w:spacing w:after="40" w:line="240" w:lineRule="auto"/>
            </w:pPr>
            <w:r/>
            <w:r>
              <w:rPr>
                <w:rFonts w:ascii="Arial" w:hAnsi="Arial"/>
                <w:b/>
                <w:sz w:val="20"/>
              </w:rPr>
              <w:t>Insumo</w:t>
            </w:r>
          </w:p>
        </w:tc>
        <w:tc>
          <w:tcPr>
            <w:tcW w:type="dxa" w:w="1568"/>
          </w:tcPr>
          <w:p>
            <w:pPr>
              <w:spacing w:after="40" w:line="240" w:lineRule="auto"/>
            </w:pPr>
            <w:r/>
            <w:r>
              <w:rPr>
                <w:rFonts w:ascii="Arial" w:hAnsi="Arial"/>
                <w:b/>
                <w:sz w:val="20"/>
              </w:rPr>
              <w:t>Volumen unit.</w:t>
            </w:r>
          </w:p>
        </w:tc>
        <w:tc>
          <w:tcPr>
            <w:tcW w:type="dxa" w:w="1568"/>
          </w:tcPr>
          <w:p>
            <w:pPr>
              <w:spacing w:after="40" w:line="240" w:lineRule="auto"/>
            </w:pPr>
            <w:r/>
            <w:r>
              <w:rPr>
                <w:rFonts w:ascii="Arial" w:hAnsi="Arial"/>
                <w:b/>
                <w:sz w:val="20"/>
              </w:rPr>
              <w:t>Inv. máx. A</w:t>
            </w:r>
          </w:p>
        </w:tc>
        <w:tc>
          <w:tcPr>
            <w:tcW w:type="dxa" w:w="1568"/>
          </w:tcPr>
          <w:p>
            <w:pPr>
              <w:spacing w:after="40" w:line="240" w:lineRule="auto"/>
            </w:pPr>
            <w:r/>
            <w:r>
              <w:rPr>
                <w:rFonts w:ascii="Arial" w:hAnsi="Arial"/>
                <w:b/>
                <w:sz w:val="20"/>
              </w:rPr>
              <w:t>m³ A</w:t>
            </w:r>
          </w:p>
        </w:tc>
        <w:tc>
          <w:tcPr>
            <w:tcW w:type="dxa" w:w="1568"/>
          </w:tcPr>
          <w:p>
            <w:pPr>
              <w:spacing w:after="40" w:line="240" w:lineRule="auto"/>
            </w:pPr>
            <w:r/>
            <w:r>
              <w:rPr>
                <w:rFonts w:ascii="Arial" w:hAnsi="Arial"/>
                <w:b/>
                <w:sz w:val="20"/>
              </w:rPr>
              <w:t>Inv. máx. B</w:t>
            </w:r>
          </w:p>
        </w:tc>
        <w:tc>
          <w:tcPr>
            <w:tcW w:type="dxa" w:w="1568"/>
          </w:tcPr>
          <w:p>
            <w:pPr>
              <w:spacing w:after="40" w:line="240" w:lineRule="auto"/>
            </w:pPr>
            <w:r/>
            <w:r>
              <w:rPr>
                <w:rFonts w:ascii="Arial" w:hAnsi="Arial"/>
                <w:b/>
                <w:sz w:val="20"/>
              </w:rPr>
              <w:t>m³ B</w:t>
            </w:r>
          </w:p>
        </w:tc>
      </w:tr>
      <w:tr>
        <w:tc>
          <w:tcPr>
            <w:tcW w:type="dxa" w:w="1568"/>
          </w:tcPr>
          <w:p>
            <w:pPr>
              <w:spacing w:after="40" w:line="240" w:lineRule="auto"/>
            </w:pPr>
            <w:r/>
            <w:r>
              <w:rPr>
                <w:rFonts w:ascii="Arial" w:hAnsi="Arial"/>
                <w:sz w:val="20"/>
              </w:rPr>
              <w:t>Motor de Alto Rendimiento V8</w:t>
            </w:r>
          </w:p>
        </w:tc>
        <w:tc>
          <w:tcPr>
            <w:tcW w:type="dxa" w:w="1568"/>
          </w:tcPr>
          <w:p>
            <w:pPr>
              <w:spacing w:after="40" w:line="240" w:lineRule="auto"/>
            </w:pPr>
            <w:r/>
            <w:r>
              <w:rPr>
                <w:rFonts w:ascii="Arial" w:hAnsi="Arial"/>
                <w:sz w:val="20"/>
              </w:rPr>
              <w:t>0,80</w:t>
            </w:r>
          </w:p>
        </w:tc>
        <w:tc>
          <w:tcPr>
            <w:tcW w:type="dxa" w:w="1568"/>
          </w:tcPr>
          <w:p>
            <w:pPr>
              <w:spacing w:after="40" w:line="240" w:lineRule="auto"/>
            </w:pPr>
            <w:r/>
            <w:r>
              <w:rPr>
                <w:rFonts w:ascii="Arial" w:hAnsi="Arial"/>
                <w:sz w:val="20"/>
              </w:rPr>
              <w:t>22,4</w:t>
            </w:r>
          </w:p>
        </w:tc>
        <w:tc>
          <w:tcPr>
            <w:tcW w:type="dxa" w:w="1568"/>
          </w:tcPr>
          <w:p>
            <w:pPr>
              <w:spacing w:after="40" w:line="240" w:lineRule="auto"/>
            </w:pPr>
            <w:r/>
            <w:r>
              <w:rPr>
                <w:rFonts w:ascii="Arial" w:hAnsi="Arial"/>
                <w:sz w:val="20"/>
              </w:rPr>
              <w:t>17,9</w:t>
            </w:r>
          </w:p>
        </w:tc>
        <w:tc>
          <w:tcPr>
            <w:tcW w:type="dxa" w:w="1568"/>
          </w:tcPr>
          <w:p>
            <w:pPr>
              <w:spacing w:after="40" w:line="240" w:lineRule="auto"/>
            </w:pPr>
            <w:r/>
            <w:r>
              <w:rPr>
                <w:rFonts w:ascii="Arial" w:hAnsi="Arial"/>
                <w:sz w:val="20"/>
              </w:rPr>
              <w:t>21,5</w:t>
            </w:r>
          </w:p>
        </w:tc>
        <w:tc>
          <w:tcPr>
            <w:tcW w:type="dxa" w:w="1568"/>
          </w:tcPr>
          <w:p>
            <w:pPr>
              <w:spacing w:after="40" w:line="240" w:lineRule="auto"/>
            </w:pPr>
            <w:r/>
            <w:r>
              <w:rPr>
                <w:rFonts w:ascii="Arial" w:hAnsi="Arial"/>
                <w:sz w:val="20"/>
              </w:rPr>
              <w:t>17,2</w:t>
            </w:r>
          </w:p>
        </w:tc>
      </w:tr>
      <w:tr>
        <w:tc>
          <w:tcPr>
            <w:tcW w:type="dxa" w:w="1568"/>
          </w:tcPr>
          <w:p>
            <w:pPr>
              <w:spacing w:after="40" w:line="240" w:lineRule="auto"/>
            </w:pPr>
            <w:r/>
            <w:r>
              <w:rPr>
                <w:rFonts w:ascii="Arial" w:hAnsi="Arial"/>
                <w:sz w:val="20"/>
              </w:rPr>
              <w:t>Motor de Cilindros en Línea Raro</w:t>
            </w:r>
          </w:p>
        </w:tc>
        <w:tc>
          <w:tcPr>
            <w:tcW w:type="dxa" w:w="1568"/>
          </w:tcPr>
          <w:p>
            <w:pPr>
              <w:spacing w:after="40" w:line="240" w:lineRule="auto"/>
            </w:pPr>
            <w:r/>
            <w:r>
              <w:rPr>
                <w:rFonts w:ascii="Arial" w:hAnsi="Arial"/>
                <w:sz w:val="20"/>
              </w:rPr>
              <w:t>0,90</w:t>
            </w:r>
          </w:p>
        </w:tc>
        <w:tc>
          <w:tcPr>
            <w:tcW w:type="dxa" w:w="1568"/>
          </w:tcPr>
          <w:p>
            <w:pPr>
              <w:spacing w:after="40" w:line="240" w:lineRule="auto"/>
            </w:pPr>
            <w:r/>
            <w:r>
              <w:rPr>
                <w:rFonts w:ascii="Arial" w:hAnsi="Arial"/>
                <w:sz w:val="20"/>
              </w:rPr>
              <w:t>17,4</w:t>
            </w:r>
          </w:p>
        </w:tc>
        <w:tc>
          <w:tcPr>
            <w:tcW w:type="dxa" w:w="1568"/>
          </w:tcPr>
          <w:p>
            <w:pPr>
              <w:spacing w:after="40" w:line="240" w:lineRule="auto"/>
            </w:pPr>
            <w:r/>
            <w:r>
              <w:rPr>
                <w:rFonts w:ascii="Arial" w:hAnsi="Arial"/>
                <w:sz w:val="20"/>
              </w:rPr>
              <w:t>15,6</w:t>
            </w:r>
          </w:p>
        </w:tc>
        <w:tc>
          <w:tcPr>
            <w:tcW w:type="dxa" w:w="1568"/>
          </w:tcPr>
          <w:p>
            <w:pPr>
              <w:spacing w:after="40" w:line="240" w:lineRule="auto"/>
            </w:pPr>
            <w:r/>
            <w:r>
              <w:rPr>
                <w:rFonts w:ascii="Arial" w:hAnsi="Arial"/>
                <w:sz w:val="20"/>
              </w:rPr>
              <w:t>16,2</w:t>
            </w:r>
          </w:p>
        </w:tc>
        <w:tc>
          <w:tcPr>
            <w:tcW w:type="dxa" w:w="1568"/>
          </w:tcPr>
          <w:p>
            <w:pPr>
              <w:spacing w:after="40" w:line="240" w:lineRule="auto"/>
            </w:pPr>
            <w:r/>
            <w:r>
              <w:rPr>
                <w:rFonts w:ascii="Arial" w:hAnsi="Arial"/>
                <w:sz w:val="20"/>
              </w:rPr>
              <w:t>14,6</w:t>
            </w:r>
          </w:p>
        </w:tc>
      </w:tr>
      <w:tr>
        <w:tc>
          <w:tcPr>
            <w:tcW w:type="dxa" w:w="1568"/>
          </w:tcPr>
          <w:p>
            <w:pPr>
              <w:spacing w:after="40" w:line="240" w:lineRule="auto"/>
            </w:pPr>
            <w:r/>
            <w:r>
              <w:rPr>
                <w:rFonts w:ascii="Arial" w:hAnsi="Arial"/>
                <w:sz w:val="20"/>
              </w:rPr>
              <w:t>Carrocería Artesanal de Época</w:t>
            </w:r>
          </w:p>
        </w:tc>
        <w:tc>
          <w:tcPr>
            <w:tcW w:type="dxa" w:w="1568"/>
          </w:tcPr>
          <w:p>
            <w:pPr>
              <w:spacing w:after="40" w:line="240" w:lineRule="auto"/>
            </w:pPr>
            <w:r/>
            <w:r>
              <w:rPr>
                <w:rFonts w:ascii="Arial" w:hAnsi="Arial"/>
                <w:sz w:val="20"/>
              </w:rPr>
              <w:t>4,00</w:t>
            </w:r>
          </w:p>
        </w:tc>
        <w:tc>
          <w:tcPr>
            <w:tcW w:type="dxa" w:w="1568"/>
          </w:tcPr>
          <w:p>
            <w:pPr>
              <w:spacing w:after="40" w:line="240" w:lineRule="auto"/>
            </w:pPr>
            <w:r/>
            <w:r>
              <w:rPr>
                <w:rFonts w:ascii="Arial" w:hAnsi="Arial"/>
                <w:sz w:val="20"/>
              </w:rPr>
              <w:t>15,5</w:t>
            </w:r>
          </w:p>
        </w:tc>
        <w:tc>
          <w:tcPr>
            <w:tcW w:type="dxa" w:w="1568"/>
          </w:tcPr>
          <w:p>
            <w:pPr>
              <w:spacing w:after="40" w:line="240" w:lineRule="auto"/>
            </w:pPr>
            <w:r/>
            <w:r>
              <w:rPr>
                <w:rFonts w:ascii="Arial" w:hAnsi="Arial"/>
                <w:sz w:val="20"/>
              </w:rPr>
              <w:t>62,0</w:t>
            </w:r>
          </w:p>
        </w:tc>
        <w:tc>
          <w:tcPr>
            <w:tcW w:type="dxa" w:w="1568"/>
          </w:tcPr>
          <w:p>
            <w:pPr>
              <w:spacing w:after="40" w:line="240" w:lineRule="auto"/>
            </w:pPr>
            <w:r/>
            <w:r>
              <w:rPr>
                <w:rFonts w:ascii="Arial" w:hAnsi="Arial"/>
                <w:sz w:val="20"/>
              </w:rPr>
              <w:t>14,6</w:t>
            </w:r>
          </w:p>
        </w:tc>
        <w:tc>
          <w:tcPr>
            <w:tcW w:type="dxa" w:w="1568"/>
          </w:tcPr>
          <w:p>
            <w:pPr>
              <w:spacing w:after="40" w:line="240" w:lineRule="auto"/>
            </w:pPr>
            <w:r/>
            <w:r>
              <w:rPr>
                <w:rFonts w:ascii="Arial" w:hAnsi="Arial"/>
                <w:sz w:val="20"/>
              </w:rPr>
              <w:t>58,6</w:t>
            </w:r>
          </w:p>
        </w:tc>
      </w:tr>
      <w:tr>
        <w:tc>
          <w:tcPr>
            <w:tcW w:type="dxa" w:w="1568"/>
          </w:tcPr>
          <w:p>
            <w:pPr>
              <w:spacing w:after="40" w:line="240" w:lineRule="auto"/>
            </w:pPr>
            <w:r/>
            <w:r>
              <w:rPr>
                <w:rFonts w:ascii="Arial" w:hAnsi="Arial"/>
                <w:sz w:val="20"/>
              </w:rPr>
              <w:t>Carrocería Estándar (Fibra)</w:t>
            </w:r>
          </w:p>
        </w:tc>
        <w:tc>
          <w:tcPr>
            <w:tcW w:type="dxa" w:w="1568"/>
          </w:tcPr>
          <w:p>
            <w:pPr>
              <w:spacing w:after="40" w:line="240" w:lineRule="auto"/>
            </w:pPr>
            <w:r/>
            <w:r>
              <w:rPr>
                <w:rFonts w:ascii="Arial" w:hAnsi="Arial"/>
                <w:sz w:val="20"/>
              </w:rPr>
              <w:t>3,50</w:t>
            </w:r>
          </w:p>
        </w:tc>
        <w:tc>
          <w:tcPr>
            <w:tcW w:type="dxa" w:w="1568"/>
          </w:tcPr>
          <w:p>
            <w:pPr>
              <w:spacing w:after="40" w:line="240" w:lineRule="auto"/>
            </w:pPr>
            <w:r/>
            <w:r>
              <w:rPr>
                <w:rFonts w:ascii="Arial" w:hAnsi="Arial"/>
                <w:sz w:val="20"/>
              </w:rPr>
              <w:t>23,5</w:t>
            </w:r>
          </w:p>
        </w:tc>
        <w:tc>
          <w:tcPr>
            <w:tcW w:type="dxa" w:w="1568"/>
          </w:tcPr>
          <w:p>
            <w:pPr>
              <w:spacing w:after="40" w:line="240" w:lineRule="auto"/>
            </w:pPr>
            <w:r/>
            <w:r>
              <w:rPr>
                <w:rFonts w:ascii="Arial" w:hAnsi="Arial"/>
                <w:sz w:val="20"/>
              </w:rPr>
              <w:t>82,2</w:t>
            </w:r>
          </w:p>
        </w:tc>
        <w:tc>
          <w:tcPr>
            <w:tcW w:type="dxa" w:w="1568"/>
          </w:tcPr>
          <w:p>
            <w:pPr>
              <w:spacing w:after="40" w:line="240" w:lineRule="auto"/>
            </w:pPr>
            <w:r/>
            <w:r>
              <w:rPr>
                <w:rFonts w:ascii="Arial" w:hAnsi="Arial"/>
                <w:sz w:val="20"/>
              </w:rPr>
              <w:t>22,5</w:t>
            </w:r>
          </w:p>
        </w:tc>
        <w:tc>
          <w:tcPr>
            <w:tcW w:type="dxa" w:w="1568"/>
          </w:tcPr>
          <w:p>
            <w:pPr>
              <w:spacing w:after="40" w:line="240" w:lineRule="auto"/>
            </w:pPr>
            <w:r/>
            <w:r>
              <w:rPr>
                <w:rFonts w:ascii="Arial" w:hAnsi="Arial"/>
                <w:sz w:val="20"/>
              </w:rPr>
              <w:t>78,6</w:t>
            </w:r>
          </w:p>
        </w:tc>
      </w:tr>
      <w:tr>
        <w:tc>
          <w:tcPr>
            <w:tcW w:type="dxa" w:w="1568"/>
          </w:tcPr>
          <w:p>
            <w:pPr>
              <w:spacing w:after="40" w:line="240" w:lineRule="auto"/>
            </w:pPr>
            <w:r/>
            <w:r>
              <w:rPr>
                <w:rFonts w:ascii="Arial" w:hAnsi="Arial"/>
                <w:sz w:val="20"/>
              </w:rPr>
              <w:t>Transmisión de 5 Velocidades</w:t>
            </w:r>
          </w:p>
        </w:tc>
        <w:tc>
          <w:tcPr>
            <w:tcW w:type="dxa" w:w="1568"/>
          </w:tcPr>
          <w:p>
            <w:pPr>
              <w:spacing w:after="40" w:line="240" w:lineRule="auto"/>
            </w:pPr>
            <w:r/>
            <w:r>
              <w:rPr>
                <w:rFonts w:ascii="Arial" w:hAnsi="Arial"/>
                <w:sz w:val="20"/>
              </w:rPr>
              <w:t>0,40</w:t>
            </w:r>
          </w:p>
        </w:tc>
        <w:tc>
          <w:tcPr>
            <w:tcW w:type="dxa" w:w="1568"/>
          </w:tcPr>
          <w:p>
            <w:pPr>
              <w:spacing w:after="40" w:line="240" w:lineRule="auto"/>
            </w:pPr>
            <w:r/>
            <w:r>
              <w:rPr>
                <w:rFonts w:ascii="Arial" w:hAnsi="Arial"/>
                <w:sz w:val="20"/>
              </w:rPr>
              <w:t>42,0</w:t>
            </w:r>
          </w:p>
        </w:tc>
        <w:tc>
          <w:tcPr>
            <w:tcW w:type="dxa" w:w="1568"/>
          </w:tcPr>
          <w:p>
            <w:pPr>
              <w:spacing w:after="40" w:line="240" w:lineRule="auto"/>
            </w:pPr>
            <w:r/>
            <w:r>
              <w:rPr>
                <w:rFonts w:ascii="Arial" w:hAnsi="Arial"/>
                <w:sz w:val="20"/>
              </w:rPr>
              <w:t>16,8</w:t>
            </w:r>
          </w:p>
        </w:tc>
        <w:tc>
          <w:tcPr>
            <w:tcW w:type="dxa" w:w="1568"/>
          </w:tcPr>
          <w:p>
            <w:pPr>
              <w:spacing w:after="40" w:line="240" w:lineRule="auto"/>
            </w:pPr>
            <w:r/>
            <w:r>
              <w:rPr>
                <w:rFonts w:ascii="Arial" w:hAnsi="Arial"/>
                <w:sz w:val="20"/>
              </w:rPr>
              <w:t>38,3</w:t>
            </w:r>
          </w:p>
        </w:tc>
        <w:tc>
          <w:tcPr>
            <w:tcW w:type="dxa" w:w="1568"/>
          </w:tcPr>
          <w:p>
            <w:pPr>
              <w:spacing w:after="40" w:line="240" w:lineRule="auto"/>
            </w:pPr>
            <w:r/>
            <w:r>
              <w:rPr>
                <w:rFonts w:ascii="Arial" w:hAnsi="Arial"/>
                <w:sz w:val="20"/>
              </w:rPr>
              <w:t>15,3</w:t>
            </w:r>
          </w:p>
        </w:tc>
      </w:tr>
      <w:tr>
        <w:tc>
          <w:tcPr>
            <w:tcW w:type="dxa" w:w="1568"/>
          </w:tcPr>
          <w:p>
            <w:pPr>
              <w:spacing w:after="40" w:line="240" w:lineRule="auto"/>
            </w:pPr>
            <w:r/>
            <w:r>
              <w:rPr>
                <w:rFonts w:ascii="Arial" w:hAnsi="Arial"/>
                <w:sz w:val="20"/>
              </w:rPr>
              <w:t>Sistema de Inyección Electrónica</w:t>
            </w:r>
          </w:p>
        </w:tc>
        <w:tc>
          <w:tcPr>
            <w:tcW w:type="dxa" w:w="1568"/>
          </w:tcPr>
          <w:p>
            <w:pPr>
              <w:spacing w:after="40" w:line="240" w:lineRule="auto"/>
            </w:pPr>
            <w:r/>
            <w:r>
              <w:rPr>
                <w:rFonts w:ascii="Arial" w:hAnsi="Arial"/>
                <w:sz w:val="20"/>
              </w:rPr>
              <w:t>0,10</w:t>
            </w:r>
          </w:p>
        </w:tc>
        <w:tc>
          <w:tcPr>
            <w:tcW w:type="dxa" w:w="1568"/>
          </w:tcPr>
          <w:p>
            <w:pPr>
              <w:spacing w:after="40" w:line="240" w:lineRule="auto"/>
            </w:pPr>
            <w:r/>
            <w:r>
              <w:rPr>
                <w:rFonts w:ascii="Arial" w:hAnsi="Arial"/>
                <w:sz w:val="20"/>
              </w:rPr>
              <w:t>45,1</w:t>
            </w:r>
          </w:p>
        </w:tc>
        <w:tc>
          <w:tcPr>
            <w:tcW w:type="dxa" w:w="1568"/>
          </w:tcPr>
          <w:p>
            <w:pPr>
              <w:spacing w:after="40" w:line="240" w:lineRule="auto"/>
            </w:pPr>
            <w:r/>
            <w:r>
              <w:rPr>
                <w:rFonts w:ascii="Arial" w:hAnsi="Arial"/>
                <w:sz w:val="20"/>
              </w:rPr>
              <w:t>4,5</w:t>
            </w:r>
          </w:p>
        </w:tc>
        <w:tc>
          <w:tcPr>
            <w:tcW w:type="dxa" w:w="1568"/>
          </w:tcPr>
          <w:p>
            <w:pPr>
              <w:spacing w:after="40" w:line="240" w:lineRule="auto"/>
            </w:pPr>
            <w:r/>
            <w:r>
              <w:rPr>
                <w:rFonts w:ascii="Arial" w:hAnsi="Arial"/>
                <w:sz w:val="20"/>
              </w:rPr>
              <w:t>43,0</w:t>
            </w:r>
          </w:p>
        </w:tc>
        <w:tc>
          <w:tcPr>
            <w:tcW w:type="dxa" w:w="1568"/>
          </w:tcPr>
          <w:p>
            <w:pPr>
              <w:spacing w:after="40" w:line="240" w:lineRule="auto"/>
            </w:pPr>
            <w:r/>
            <w:r>
              <w:rPr>
                <w:rFonts w:ascii="Arial" w:hAnsi="Arial"/>
                <w:sz w:val="20"/>
              </w:rPr>
              <w:t>4,3</w:t>
            </w:r>
          </w:p>
        </w:tc>
      </w:tr>
      <w:tr>
        <w:tc>
          <w:tcPr>
            <w:tcW w:type="dxa" w:w="1568"/>
          </w:tcPr>
          <w:p>
            <w:pPr>
              <w:spacing w:after="40" w:line="240" w:lineRule="auto"/>
            </w:pPr>
            <w:r/>
            <w:r>
              <w:rPr>
                <w:rFonts w:ascii="Arial" w:hAnsi="Arial"/>
                <w:sz w:val="20"/>
              </w:rPr>
              <w:t>Set de Carburadores Dobles</w:t>
            </w:r>
          </w:p>
        </w:tc>
        <w:tc>
          <w:tcPr>
            <w:tcW w:type="dxa" w:w="1568"/>
          </w:tcPr>
          <w:p>
            <w:pPr>
              <w:spacing w:after="40" w:line="240" w:lineRule="auto"/>
            </w:pPr>
            <w:r/>
            <w:r>
              <w:rPr>
                <w:rFonts w:ascii="Arial" w:hAnsi="Arial"/>
                <w:sz w:val="20"/>
              </w:rPr>
              <w:t>0,10</w:t>
            </w:r>
          </w:p>
        </w:tc>
        <w:tc>
          <w:tcPr>
            <w:tcW w:type="dxa" w:w="1568"/>
          </w:tcPr>
          <w:p>
            <w:pPr>
              <w:spacing w:after="40" w:line="240" w:lineRule="auto"/>
            </w:pPr>
            <w:r/>
            <w:r>
              <w:rPr>
                <w:rFonts w:ascii="Arial" w:hAnsi="Arial"/>
                <w:sz w:val="20"/>
              </w:rPr>
              <w:t>40,8</w:t>
            </w:r>
          </w:p>
        </w:tc>
        <w:tc>
          <w:tcPr>
            <w:tcW w:type="dxa" w:w="1568"/>
          </w:tcPr>
          <w:p>
            <w:pPr>
              <w:spacing w:after="40" w:line="240" w:lineRule="auto"/>
            </w:pPr>
            <w:r/>
            <w:r>
              <w:rPr>
                <w:rFonts w:ascii="Arial" w:hAnsi="Arial"/>
                <w:sz w:val="20"/>
              </w:rPr>
              <w:t>4,1</w:t>
            </w:r>
          </w:p>
        </w:tc>
        <w:tc>
          <w:tcPr>
            <w:tcW w:type="dxa" w:w="1568"/>
          </w:tcPr>
          <w:p>
            <w:pPr>
              <w:spacing w:after="40" w:line="240" w:lineRule="auto"/>
            </w:pPr>
            <w:r/>
            <w:r>
              <w:rPr>
                <w:rFonts w:ascii="Arial" w:hAnsi="Arial"/>
                <w:sz w:val="20"/>
              </w:rPr>
              <w:t>38,7</w:t>
            </w:r>
          </w:p>
        </w:tc>
        <w:tc>
          <w:tcPr>
            <w:tcW w:type="dxa" w:w="1568"/>
          </w:tcPr>
          <w:p>
            <w:pPr>
              <w:spacing w:after="40" w:line="240" w:lineRule="auto"/>
            </w:pPr>
            <w:r/>
            <w:r>
              <w:rPr>
                <w:rFonts w:ascii="Arial" w:hAnsi="Arial"/>
                <w:sz w:val="20"/>
              </w:rPr>
              <w:t>3,9</w:t>
            </w:r>
          </w:p>
        </w:tc>
      </w:tr>
      <w:tr>
        <w:tc>
          <w:tcPr>
            <w:tcW w:type="dxa" w:w="1568"/>
          </w:tcPr>
          <w:p>
            <w:pPr>
              <w:spacing w:after="40" w:line="240" w:lineRule="auto"/>
            </w:pPr>
            <w:r/>
            <w:r>
              <w:rPr>
                <w:rFonts w:ascii="Arial" w:hAnsi="Arial"/>
                <w:sz w:val="20"/>
              </w:rPr>
              <w:t>Tapicería de Cuero Premium</w:t>
            </w:r>
          </w:p>
        </w:tc>
        <w:tc>
          <w:tcPr>
            <w:tcW w:type="dxa" w:w="1568"/>
          </w:tcPr>
          <w:p>
            <w:pPr>
              <w:spacing w:after="40" w:line="240" w:lineRule="auto"/>
            </w:pPr>
            <w:r/>
            <w:r>
              <w:rPr>
                <w:rFonts w:ascii="Arial" w:hAnsi="Arial"/>
                <w:sz w:val="20"/>
              </w:rPr>
              <w:t>0,50</w:t>
            </w:r>
          </w:p>
        </w:tc>
        <w:tc>
          <w:tcPr>
            <w:tcW w:type="dxa" w:w="1568"/>
          </w:tcPr>
          <w:p>
            <w:pPr>
              <w:spacing w:after="40" w:line="240" w:lineRule="auto"/>
            </w:pPr>
            <w:r/>
            <w:r>
              <w:rPr>
                <w:rFonts w:ascii="Arial" w:hAnsi="Arial"/>
                <w:sz w:val="20"/>
              </w:rPr>
              <w:t>45,8</w:t>
            </w:r>
          </w:p>
        </w:tc>
        <w:tc>
          <w:tcPr>
            <w:tcW w:type="dxa" w:w="1568"/>
          </w:tcPr>
          <w:p>
            <w:pPr>
              <w:spacing w:after="40" w:line="240" w:lineRule="auto"/>
            </w:pPr>
            <w:r/>
            <w:r>
              <w:rPr>
                <w:rFonts w:ascii="Arial" w:hAnsi="Arial"/>
                <w:sz w:val="20"/>
              </w:rPr>
              <w:t>22,9</w:t>
            </w:r>
          </w:p>
        </w:tc>
        <w:tc>
          <w:tcPr>
            <w:tcW w:type="dxa" w:w="1568"/>
          </w:tcPr>
          <w:p>
            <w:pPr>
              <w:spacing w:after="40" w:line="240" w:lineRule="auto"/>
            </w:pPr>
            <w:r/>
            <w:r>
              <w:rPr>
                <w:rFonts w:ascii="Arial" w:hAnsi="Arial"/>
                <w:sz w:val="20"/>
              </w:rPr>
              <w:t>40,7</w:t>
            </w:r>
          </w:p>
        </w:tc>
        <w:tc>
          <w:tcPr>
            <w:tcW w:type="dxa" w:w="1568"/>
          </w:tcPr>
          <w:p>
            <w:pPr>
              <w:spacing w:after="40" w:line="240" w:lineRule="auto"/>
            </w:pPr>
            <w:r/>
            <w:r>
              <w:rPr>
                <w:rFonts w:ascii="Arial" w:hAnsi="Arial"/>
                <w:sz w:val="20"/>
              </w:rPr>
              <w:t>20,4</w:t>
            </w:r>
          </w:p>
        </w:tc>
      </w:tr>
      <w:tr>
        <w:tc>
          <w:tcPr>
            <w:tcW w:type="dxa" w:w="1568"/>
          </w:tcPr>
          <w:p>
            <w:pPr>
              <w:spacing w:after="40" w:line="240" w:lineRule="auto"/>
            </w:pPr>
            <w:r/>
            <w:r>
              <w:rPr>
                <w:rFonts w:ascii="Arial" w:hAnsi="Arial"/>
                <w:sz w:val="20"/>
              </w:rPr>
              <w:t>Juego de Llantas Vintage Espec.</w:t>
            </w:r>
          </w:p>
        </w:tc>
        <w:tc>
          <w:tcPr>
            <w:tcW w:type="dxa" w:w="1568"/>
          </w:tcPr>
          <w:p>
            <w:pPr>
              <w:spacing w:after="40" w:line="240" w:lineRule="auto"/>
            </w:pPr>
            <w:r/>
            <w:r>
              <w:rPr>
                <w:rFonts w:ascii="Arial" w:hAnsi="Arial"/>
                <w:sz w:val="20"/>
              </w:rPr>
              <w:t>0,15</w:t>
            </w:r>
          </w:p>
        </w:tc>
        <w:tc>
          <w:tcPr>
            <w:tcW w:type="dxa" w:w="1568"/>
          </w:tcPr>
          <w:p>
            <w:pPr>
              <w:spacing w:after="40" w:line="240" w:lineRule="auto"/>
            </w:pPr>
            <w:r/>
            <w:r>
              <w:rPr>
                <w:rFonts w:ascii="Arial" w:hAnsi="Arial"/>
                <w:sz w:val="20"/>
              </w:rPr>
              <w:t>67,9</w:t>
            </w:r>
          </w:p>
        </w:tc>
        <w:tc>
          <w:tcPr>
            <w:tcW w:type="dxa" w:w="1568"/>
          </w:tcPr>
          <w:p>
            <w:pPr>
              <w:spacing w:after="40" w:line="240" w:lineRule="auto"/>
            </w:pPr>
            <w:r/>
            <w:r>
              <w:rPr>
                <w:rFonts w:ascii="Arial" w:hAnsi="Arial"/>
                <w:sz w:val="20"/>
              </w:rPr>
              <w:t>10,2</w:t>
            </w:r>
          </w:p>
        </w:tc>
        <w:tc>
          <w:tcPr>
            <w:tcW w:type="dxa" w:w="1568"/>
          </w:tcPr>
          <w:p>
            <w:pPr>
              <w:spacing w:after="40" w:line="240" w:lineRule="auto"/>
            </w:pPr>
            <w:r/>
            <w:r>
              <w:rPr>
                <w:rFonts w:ascii="Arial" w:hAnsi="Arial"/>
                <w:sz w:val="20"/>
              </w:rPr>
              <w:t>58,8</w:t>
            </w:r>
          </w:p>
        </w:tc>
        <w:tc>
          <w:tcPr>
            <w:tcW w:type="dxa" w:w="1568"/>
          </w:tcPr>
          <w:p>
            <w:pPr>
              <w:spacing w:after="40" w:line="240" w:lineRule="auto"/>
            </w:pPr>
            <w:r/>
            <w:r>
              <w:rPr>
                <w:rFonts w:ascii="Arial" w:hAnsi="Arial"/>
                <w:sz w:val="20"/>
              </w:rPr>
              <w:t>8,8</w:t>
            </w:r>
          </w:p>
        </w:tc>
      </w:tr>
      <w:tr>
        <w:tc>
          <w:tcPr>
            <w:tcW w:type="dxa" w:w="1568"/>
          </w:tcPr>
          <w:p>
            <w:pPr>
              <w:spacing w:after="40" w:line="240" w:lineRule="auto"/>
            </w:pPr>
            <w:r/>
            <w:r>
              <w:rPr>
                <w:rFonts w:ascii="Arial" w:hAnsi="Arial"/>
                <w:sz w:val="20"/>
              </w:rPr>
              <w:t>Llantas Regulares Cromados</w:t>
            </w:r>
          </w:p>
        </w:tc>
        <w:tc>
          <w:tcPr>
            <w:tcW w:type="dxa" w:w="1568"/>
          </w:tcPr>
          <w:p>
            <w:pPr>
              <w:spacing w:after="40" w:line="240" w:lineRule="auto"/>
            </w:pPr>
            <w:r/>
            <w:r>
              <w:rPr>
                <w:rFonts w:ascii="Arial" w:hAnsi="Arial"/>
                <w:sz w:val="20"/>
              </w:rPr>
              <w:t>0,10</w:t>
            </w:r>
          </w:p>
        </w:tc>
        <w:tc>
          <w:tcPr>
            <w:tcW w:type="dxa" w:w="1568"/>
          </w:tcPr>
          <w:p>
            <w:pPr>
              <w:spacing w:after="40" w:line="240" w:lineRule="auto"/>
            </w:pPr>
            <w:r/>
            <w:r>
              <w:rPr>
                <w:rFonts w:ascii="Arial" w:hAnsi="Arial"/>
                <w:sz w:val="20"/>
              </w:rPr>
              <w:t>159,5</w:t>
            </w:r>
          </w:p>
        </w:tc>
        <w:tc>
          <w:tcPr>
            <w:tcW w:type="dxa" w:w="1568"/>
          </w:tcPr>
          <w:p>
            <w:pPr>
              <w:spacing w:after="40" w:line="240" w:lineRule="auto"/>
            </w:pPr>
            <w:r/>
            <w:r>
              <w:rPr>
                <w:rFonts w:ascii="Arial" w:hAnsi="Arial"/>
                <w:sz w:val="20"/>
              </w:rPr>
              <w:t>16,0</w:t>
            </w:r>
          </w:p>
        </w:tc>
        <w:tc>
          <w:tcPr>
            <w:tcW w:type="dxa" w:w="1568"/>
          </w:tcPr>
          <w:p>
            <w:pPr>
              <w:spacing w:after="40" w:line="240" w:lineRule="auto"/>
            </w:pPr>
            <w:r/>
            <w:r>
              <w:rPr>
                <w:rFonts w:ascii="Arial" w:hAnsi="Arial"/>
                <w:sz w:val="20"/>
              </w:rPr>
              <w:t>148,0</w:t>
            </w:r>
          </w:p>
        </w:tc>
        <w:tc>
          <w:tcPr>
            <w:tcW w:type="dxa" w:w="1568"/>
          </w:tcPr>
          <w:p>
            <w:pPr>
              <w:spacing w:after="40" w:line="240" w:lineRule="auto"/>
            </w:pPr>
            <w:r/>
            <w:r>
              <w:rPr>
                <w:rFonts w:ascii="Arial" w:hAnsi="Arial"/>
                <w:sz w:val="20"/>
              </w:rPr>
              <w:t>14,8</w:t>
            </w:r>
          </w:p>
        </w:tc>
      </w:tr>
      <w:tr>
        <w:tc>
          <w:tcPr>
            <w:tcW w:type="dxa" w:w="1568"/>
          </w:tcPr>
          <w:p>
            <w:pPr>
              <w:spacing w:after="40" w:line="240" w:lineRule="auto"/>
            </w:pPr>
            <w:r/>
            <w:r>
              <w:rPr>
                <w:rFonts w:ascii="Arial" w:hAnsi="Arial"/>
                <w:sz w:val="20"/>
              </w:rPr>
              <w:t>Cubiertas de Alta Gama</w:t>
            </w:r>
          </w:p>
        </w:tc>
        <w:tc>
          <w:tcPr>
            <w:tcW w:type="dxa" w:w="1568"/>
          </w:tcPr>
          <w:p>
            <w:pPr>
              <w:spacing w:after="40" w:line="240" w:lineRule="auto"/>
            </w:pPr>
            <w:r/>
            <w:r>
              <w:rPr>
                <w:rFonts w:ascii="Arial" w:hAnsi="Arial"/>
                <w:sz w:val="20"/>
              </w:rPr>
              <w:t>0,10</w:t>
            </w:r>
          </w:p>
        </w:tc>
        <w:tc>
          <w:tcPr>
            <w:tcW w:type="dxa" w:w="1568"/>
          </w:tcPr>
          <w:p>
            <w:pPr>
              <w:spacing w:after="40" w:line="240" w:lineRule="auto"/>
            </w:pPr>
            <w:r/>
            <w:r>
              <w:rPr>
                <w:rFonts w:ascii="Arial" w:hAnsi="Arial"/>
                <w:sz w:val="20"/>
              </w:rPr>
              <w:t>261,6</w:t>
            </w:r>
          </w:p>
        </w:tc>
        <w:tc>
          <w:tcPr>
            <w:tcW w:type="dxa" w:w="1568"/>
          </w:tcPr>
          <w:p>
            <w:pPr>
              <w:spacing w:after="40" w:line="240" w:lineRule="auto"/>
            </w:pPr>
            <w:r/>
            <w:r>
              <w:rPr>
                <w:rFonts w:ascii="Arial" w:hAnsi="Arial"/>
                <w:sz w:val="20"/>
              </w:rPr>
              <w:t>26,2</w:t>
            </w:r>
          </w:p>
        </w:tc>
        <w:tc>
          <w:tcPr>
            <w:tcW w:type="dxa" w:w="1568"/>
          </w:tcPr>
          <w:p>
            <w:pPr>
              <w:spacing w:after="40" w:line="240" w:lineRule="auto"/>
            </w:pPr>
            <w:r/>
            <w:r>
              <w:rPr>
                <w:rFonts w:ascii="Arial" w:hAnsi="Arial"/>
                <w:sz w:val="20"/>
              </w:rPr>
              <w:t>238,9</w:t>
            </w:r>
          </w:p>
        </w:tc>
        <w:tc>
          <w:tcPr>
            <w:tcW w:type="dxa" w:w="1568"/>
          </w:tcPr>
          <w:p>
            <w:pPr>
              <w:spacing w:after="40" w:line="240" w:lineRule="auto"/>
            </w:pPr>
            <w:r/>
            <w:r>
              <w:rPr>
                <w:rFonts w:ascii="Arial" w:hAnsi="Arial"/>
                <w:sz w:val="20"/>
              </w:rPr>
              <w:t>23,9</w:t>
            </w:r>
          </w:p>
        </w:tc>
      </w:tr>
      <w:tr>
        <w:tc>
          <w:tcPr>
            <w:tcW w:type="dxa" w:w="1568"/>
          </w:tcPr>
          <w:p>
            <w:pPr>
              <w:spacing w:after="40" w:line="240" w:lineRule="auto"/>
            </w:pPr>
            <w:r/>
            <w:r>
              <w:rPr>
                <w:rFonts w:ascii="Arial" w:hAnsi="Arial"/>
                <w:b/>
                <w:sz w:val="20"/>
              </w:rPr>
              <w:t>TOTAL</w:t>
            </w:r>
          </w:p>
        </w:tc>
        <w:tc>
          <w:tcPr>
            <w:tcW w:type="dxa" w:w="1568"/>
          </w:tcPr>
          <w:p>
            <w:pPr>
              <w:spacing w:after="40" w:line="240" w:lineRule="auto"/>
            </w:pPr>
            <w:r/>
          </w:p>
        </w:tc>
        <w:tc>
          <w:tcPr>
            <w:tcW w:type="dxa" w:w="1568"/>
          </w:tcPr>
          <w:p>
            <w:pPr>
              <w:spacing w:after="40" w:line="240" w:lineRule="auto"/>
            </w:pPr>
            <w:r/>
          </w:p>
        </w:tc>
        <w:tc>
          <w:tcPr>
            <w:tcW w:type="dxa" w:w="1568"/>
          </w:tcPr>
          <w:p>
            <w:pPr>
              <w:spacing w:after="40" w:line="240" w:lineRule="auto"/>
            </w:pPr>
            <w:r/>
            <w:r>
              <w:rPr>
                <w:rFonts w:ascii="Arial" w:hAnsi="Arial"/>
                <w:b/>
                <w:sz w:val="20"/>
              </w:rPr>
              <w:t>278,3 m³</w:t>
            </w:r>
          </w:p>
        </w:tc>
        <w:tc>
          <w:tcPr>
            <w:tcW w:type="dxa" w:w="1568"/>
          </w:tcPr>
          <w:p>
            <w:pPr>
              <w:spacing w:after="40" w:line="240" w:lineRule="auto"/>
            </w:pPr>
            <w:r/>
          </w:p>
        </w:tc>
        <w:tc>
          <w:tcPr>
            <w:tcW w:type="dxa" w:w="1568"/>
          </w:tcPr>
          <w:p>
            <w:pPr>
              <w:spacing w:after="40" w:line="240" w:lineRule="auto"/>
            </w:pPr>
            <w:r/>
            <w:r>
              <w:rPr>
                <w:rFonts w:ascii="Arial" w:hAnsi="Arial"/>
                <w:b/>
                <w:sz w:val="20"/>
              </w:rPr>
              <w:t>260,3 m³</w:t>
            </w:r>
          </w:p>
        </w:tc>
      </w:tr>
    </w:tbl>
    <w:p/>
    <w:p>
      <w:r>
        <w:rPr>
          <w:rFonts w:ascii="Arial" w:hAnsi="Arial"/>
          <w:sz w:val="22"/>
        </w:rPr>
        <w:t>El total suma el máximo de cada insumo por separado. Es un criterio conservador, porque en la práctica los picos no van a caer todos el mismo día: cada insumo tiene su propio plazo de entrega y su propio ciclo. Pero para dimensionar un galpón conviene errar por exceso.</w:t>
      </w:r>
    </w:p>
    <w:p>
      <w:r>
        <w:rPr>
          <w:rFonts w:ascii="Arial" w:hAnsi="Arial"/>
          <w:sz w:val="22"/>
        </w:rPr>
        <w:t xml:space="preserve">La </w:t>
      </w:r>
      <w:r>
        <w:rPr>
          <w:rFonts w:ascii="Arial" w:hAnsi="Arial"/>
          <w:b/>
          <w:sz w:val="22"/>
        </w:rPr>
        <w:t>Capacidad Mínima Teórica</w:t>
      </w:r>
      <w:r>
        <w:rPr>
          <w:rFonts w:ascii="Arial" w:hAnsi="Arial"/>
          <w:sz w:val="22"/>
        </w:rPr>
        <w:t xml:space="preserve"> para la Política A es entonces de </w:t>
      </w:r>
      <w:r>
        <w:rPr>
          <w:rFonts w:ascii="Arial" w:hAnsi="Arial"/>
          <w:b/>
          <w:sz w:val="22"/>
        </w:rPr>
        <w:t>279 m³</w:t>
      </w:r>
      <w:r>
        <w:rPr>
          <w:rFonts w:ascii="Arial" w:hAnsi="Arial"/>
          <w:sz w:val="22"/>
        </w:rPr>
        <w:t>.</w:t>
      </w:r>
    </w:p>
    <w:p>
      <w:pPr>
        <w:keepNext/>
        <w:spacing w:before="360" w:after="120"/>
      </w:pPr>
      <w:r>
        <w:rPr>
          <w:rFonts w:ascii="Arial" w:hAnsi="Arial"/>
          <w:b/>
          <w:sz w:val="32"/>
        </w:rPr>
        <w:t>8.2. Del espacio teórico al galpón real</w:t>
      </w:r>
    </w:p>
    <w:p>
      <w:r>
        <w:rPr>
          <w:rFonts w:ascii="Arial" w:hAnsi="Arial"/>
          <w:sz w:val="22"/>
        </w:rPr>
        <w:t>Sin embargo, esto no es cierto de manera física. En un almacén no todos los productos entran directamente uno perfectamente al lado del otro, ya que se necesitan espacios operacionales.</w:t>
      </w:r>
    </w:p>
    <w:p>
      <w:r>
        <w:rPr>
          <w:rFonts w:ascii="Arial" w:hAnsi="Arial"/>
          <w:sz w:val="22"/>
        </w:rPr>
        <w:t>Para calcular esto se hizo uso del Manual de Buenas Prácticas emitido desde el gobierno de la nación, exactamente la Superintendencia de Riesgos del Trabajo. En el mismo se establecen muchas características que debe cumplir un almacén de una industria como la que estamos tratando. Entre dichas características se encuentran los espacios requeridos:</w:t>
      </w:r>
    </w:p>
    <w:p>
      <w:pPr>
        <w:pStyle w:val="ListBullet"/>
        <w:spacing w:line="276" w:lineRule="auto"/>
      </w:pPr>
      <w:r>
        <w:rPr>
          <w:rFonts w:ascii="Arial" w:hAnsi="Arial"/>
          <w:sz w:val="22"/>
        </w:rPr>
        <w:t>Pasillos de circulación</w:t>
      </w:r>
    </w:p>
    <w:p>
      <w:pPr>
        <w:pStyle w:val="ListBullet"/>
        <w:spacing w:line="276" w:lineRule="auto"/>
      </w:pPr>
      <w:r>
        <w:rPr>
          <w:rFonts w:ascii="Arial" w:hAnsi="Arial"/>
          <w:sz w:val="22"/>
        </w:rPr>
        <w:t>Zonas de carga y descarga</w:t>
      </w:r>
    </w:p>
    <w:p>
      <w:pPr>
        <w:pStyle w:val="ListBullet"/>
        <w:spacing w:line="276" w:lineRule="auto"/>
      </w:pPr>
      <w:r>
        <w:rPr>
          <w:rFonts w:ascii="Arial" w:hAnsi="Arial"/>
          <w:sz w:val="22"/>
        </w:rPr>
        <w:t>Áreas de maniobra</w:t>
      </w:r>
    </w:p>
    <w:p>
      <w:pPr>
        <w:pStyle w:val="ListBullet"/>
        <w:spacing w:line="276" w:lineRule="auto"/>
      </w:pPr>
      <w:r>
        <w:rPr>
          <w:rFonts w:ascii="Arial" w:hAnsi="Arial"/>
          <w:sz w:val="22"/>
        </w:rPr>
        <w:t>Espacios libres por seguridad</w:t>
      </w:r>
    </w:p>
    <w:p>
      <w:pPr>
        <w:pStyle w:val="ListBullet"/>
        <w:spacing w:line="276" w:lineRule="auto"/>
      </w:pPr>
      <w:r>
        <w:rPr>
          <w:rFonts w:ascii="Arial" w:hAnsi="Arial"/>
          <w:sz w:val="22"/>
        </w:rPr>
        <w:t>Limitaciones de altura útil</w:t>
      </w:r>
    </w:p>
    <w:p>
      <w:r>
        <w:rPr>
          <w:rFonts w:ascii="Arial" w:hAnsi="Arial"/>
          <w:sz w:val="22"/>
        </w:rPr>
        <w:t>Como el fin de nuestro análisis no es recomendar prácticas de trabajo dentro del almacén, ni se sabe correctamente por parte del equipo con qué tipos de maquinaria se cuenta o se contará, entregaremos dos planteos posibles sobre la Capacidad Mínima Requerida.</w:t>
      </w:r>
    </w:p>
    <w:p>
      <w:r>
        <w:rPr>
          <w:rFonts w:ascii="Arial" w:hAnsi="Arial"/>
          <w:sz w:val="22"/>
        </w:rPr>
        <w:t>Según un reporte de NetSuite (Warehouse Space Utilization: How to Calculate and Optimize, Abby Jenkins), las empresas suelen utilizar entre el 45% y el 85% del espacio total de almacén. Tomamos dos escenarios dentro de ese rango, con una altura útil de 5 metros, que es lo estándar para un galpón industrial con estantería.</w:t>
      </w:r>
    </w:p>
    <w:p>
      <w:r>
        <w:rPr>
          <w:rFonts w:ascii="Arial" w:hAnsi="Arial"/>
          <w:b/>
          <w:sz w:val="22"/>
        </w:rPr>
        <w:t>Capacidad Mínima de Almacén Conservadora.</w:t>
      </w:r>
      <w:r>
        <w:rPr>
          <w:rFonts w:ascii="Arial" w:hAnsi="Arial"/>
          <w:sz w:val="22"/>
        </w:rPr>
        <w:t xml:space="preserve"> Suponiendo una utilización del 65% del espacio:</w:t>
      </w:r>
    </w:p>
    <w:p>
      <w:pPr>
        <w:spacing w:line="240" w:lineRule="auto"/>
        <w:ind w:left="567"/>
      </w:pPr>
      <w:r>
        <w:rPr>
          <w:rFonts w:ascii="Consolas" w:hAnsi="Consolas"/>
          <w:sz w:val="19"/>
        </w:rPr>
        <w:t>CMAC = 279 m³ / 0,65 ≈ 428 m³</w:t>
      </w:r>
    </w:p>
    <w:p>
      <w:r>
        <w:rPr>
          <w:rFonts w:ascii="Arial" w:hAnsi="Arial"/>
          <w:sz w:val="22"/>
        </w:rPr>
        <w:t>Esto permite una distribución recomendada de 15 m de largo, 6 m de ancho y 5 m de alto (450 m³, superficie de 90 m²).</w:t>
      </w:r>
    </w:p>
    <w:p>
      <w:r>
        <w:rPr>
          <w:rFonts w:ascii="Arial" w:hAnsi="Arial"/>
          <w:b/>
          <w:sz w:val="22"/>
        </w:rPr>
        <w:t>Capacidad Mínima de Almacén Óptima.</w:t>
      </w:r>
      <w:r>
        <w:rPr>
          <w:rFonts w:ascii="Arial" w:hAnsi="Arial"/>
          <w:sz w:val="22"/>
        </w:rPr>
        <w:t xml:space="preserve"> Si la empresa se compromete a manejar de la mejor manera posible sus productos, quizás ese 35% de desperdicio pueda minimizarse a un 25%:</w:t>
      </w:r>
    </w:p>
    <w:p>
      <w:pPr>
        <w:spacing w:line="240" w:lineRule="auto"/>
        <w:ind w:left="567"/>
      </w:pPr>
      <w:r>
        <w:rPr>
          <w:rFonts w:ascii="Consolas" w:hAnsi="Consolas"/>
          <w:sz w:val="19"/>
        </w:rPr>
        <w:t>CMAO = 279 m³ / 0,75 ≈ 371 m³</w:t>
      </w:r>
    </w:p>
    <w:p>
      <w:r>
        <w:rPr>
          <w:rFonts w:ascii="Arial" w:hAnsi="Arial"/>
          <w:sz w:val="22"/>
        </w:rPr>
        <w:t>Lo cual se podría alcanzar con un almacén de 13 m de largo, 6 m de ancho y 5 m de alto (390 m³, superficie de 78 m²).</w:t>
      </w:r>
    </w:p>
    <w:p>
      <w:r>
        <w:rPr>
          <w:rFonts w:ascii="Arial" w:hAnsi="Arial"/>
          <w:sz w:val="22"/>
        </w:rPr>
        <w:t>Resulta fácil realizar un recálculo de lo anterior si la organización encuentra otra forma que considere más apropiada para construir su almacén. Lo que nunca se podrá hacer es trabajar por debajo de la Capacidad Mínima Teórica de 279 m³.</w:t>
      </w:r>
    </w:p>
    <w:p>
      <w:pPr>
        <w:keepNext/>
        <w:spacing w:before="360" w:after="120"/>
      </w:pPr>
      <w:r>
        <w:rPr>
          <w:rFonts w:ascii="Arial" w:hAnsi="Arial"/>
          <w:b/>
          <w:sz w:val="32"/>
        </w:rPr>
        <w:t>8.3. Costos de construcción</w:t>
      </w:r>
    </w:p>
    <w:p>
      <w:r>
        <w:rPr>
          <w:rFonts w:ascii="Arial" w:hAnsi="Arial"/>
          <w:sz w:val="22"/>
        </w:rPr>
        <w:t>Se facilita de manera breve un cálculo rápido a modo de ayuda del costo de construcción de cada una de las opciones suministradas. El costo exacto de cada caso, si estos fueran a llevarse a cabo, debería precisarse en detalle. No se realiza ahora mismo ya que escapa del alcance inicial, que trata solo sobre el dimensionamiento. Se toma un valor de referencia de USD 1.500 por m².</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68"/>
        <w:gridCol w:w="1568"/>
        <w:gridCol w:w="1568"/>
        <w:gridCol w:w="1568"/>
        <w:gridCol w:w="1568"/>
        <w:gridCol w:w="1568"/>
      </w:tblGrid>
      <w:tr>
        <w:tc>
          <w:tcPr>
            <w:tcW w:type="dxa" w:w="1568"/>
          </w:tcPr>
          <w:p>
            <w:pPr>
              <w:spacing w:after="40" w:line="240" w:lineRule="auto"/>
            </w:pPr>
            <w:r/>
            <w:r>
              <w:rPr>
                <w:rFonts w:ascii="Arial" w:hAnsi="Arial"/>
                <w:b/>
                <w:sz w:val="20"/>
              </w:rPr>
              <w:t>Política</w:t>
            </w:r>
          </w:p>
        </w:tc>
        <w:tc>
          <w:tcPr>
            <w:tcW w:type="dxa" w:w="1568"/>
          </w:tcPr>
          <w:p>
            <w:pPr>
              <w:spacing w:after="40" w:line="240" w:lineRule="auto"/>
            </w:pPr>
            <w:r/>
            <w:r>
              <w:rPr>
                <w:rFonts w:ascii="Arial" w:hAnsi="Arial"/>
                <w:b/>
                <w:sz w:val="20"/>
              </w:rPr>
              <w:t>Escenario</w:t>
            </w:r>
          </w:p>
        </w:tc>
        <w:tc>
          <w:tcPr>
            <w:tcW w:type="dxa" w:w="1568"/>
          </w:tcPr>
          <w:p>
            <w:pPr>
              <w:spacing w:after="40" w:line="240" w:lineRule="auto"/>
            </w:pPr>
            <w:r/>
            <w:r>
              <w:rPr>
                <w:rFonts w:ascii="Arial" w:hAnsi="Arial"/>
                <w:b/>
                <w:sz w:val="20"/>
              </w:rPr>
              <w:t>Utilización</w:t>
            </w:r>
          </w:p>
        </w:tc>
        <w:tc>
          <w:tcPr>
            <w:tcW w:type="dxa" w:w="1568"/>
          </w:tcPr>
          <w:p>
            <w:pPr>
              <w:spacing w:after="40" w:line="240" w:lineRule="auto"/>
            </w:pPr>
            <w:r/>
            <w:r>
              <w:rPr>
                <w:rFonts w:ascii="Arial" w:hAnsi="Arial"/>
                <w:b/>
                <w:sz w:val="20"/>
              </w:rPr>
              <w:t>Volumen</w:t>
            </w:r>
          </w:p>
        </w:tc>
        <w:tc>
          <w:tcPr>
            <w:tcW w:type="dxa" w:w="1568"/>
          </w:tcPr>
          <w:p>
            <w:pPr>
              <w:spacing w:after="40" w:line="240" w:lineRule="auto"/>
            </w:pPr>
            <w:r/>
            <w:r>
              <w:rPr>
                <w:rFonts w:ascii="Arial" w:hAnsi="Arial"/>
                <w:b/>
                <w:sz w:val="20"/>
              </w:rPr>
              <w:t>Superficie</w:t>
            </w:r>
          </w:p>
        </w:tc>
        <w:tc>
          <w:tcPr>
            <w:tcW w:type="dxa" w:w="1568"/>
          </w:tcPr>
          <w:p>
            <w:pPr>
              <w:spacing w:after="40" w:line="240" w:lineRule="auto"/>
            </w:pPr>
            <w:r/>
            <w:r>
              <w:rPr>
                <w:rFonts w:ascii="Arial" w:hAnsi="Arial"/>
                <w:b/>
                <w:sz w:val="20"/>
              </w:rPr>
              <w:t>Costo de obra</w:t>
            </w:r>
          </w:p>
        </w:tc>
      </w:tr>
      <w:tr>
        <w:tc>
          <w:tcPr>
            <w:tcW w:type="dxa" w:w="1568"/>
          </w:tcPr>
          <w:p>
            <w:pPr>
              <w:spacing w:after="40" w:line="240" w:lineRule="auto"/>
            </w:pPr>
            <w:r/>
            <w:r>
              <w:rPr>
                <w:rFonts w:ascii="Arial" w:hAnsi="Arial"/>
                <w:sz w:val="20"/>
              </w:rPr>
              <w:t>A</w:t>
            </w:r>
          </w:p>
        </w:tc>
        <w:tc>
          <w:tcPr>
            <w:tcW w:type="dxa" w:w="1568"/>
          </w:tcPr>
          <w:p>
            <w:pPr>
              <w:spacing w:after="40" w:line="240" w:lineRule="auto"/>
            </w:pPr>
            <w:r/>
            <w:r>
              <w:rPr>
                <w:rFonts w:ascii="Arial" w:hAnsi="Arial"/>
                <w:sz w:val="20"/>
              </w:rPr>
              <w:t>Conservador</w:t>
            </w:r>
          </w:p>
        </w:tc>
        <w:tc>
          <w:tcPr>
            <w:tcW w:type="dxa" w:w="1568"/>
          </w:tcPr>
          <w:p>
            <w:pPr>
              <w:spacing w:after="40" w:line="240" w:lineRule="auto"/>
            </w:pPr>
            <w:r/>
            <w:r>
              <w:rPr>
                <w:rFonts w:ascii="Arial" w:hAnsi="Arial"/>
                <w:sz w:val="20"/>
              </w:rPr>
              <w:t>65%</w:t>
            </w:r>
          </w:p>
        </w:tc>
        <w:tc>
          <w:tcPr>
            <w:tcW w:type="dxa" w:w="1568"/>
          </w:tcPr>
          <w:p>
            <w:pPr>
              <w:spacing w:after="40" w:line="240" w:lineRule="auto"/>
            </w:pPr>
            <w:r/>
            <w:r>
              <w:rPr>
                <w:rFonts w:ascii="Arial" w:hAnsi="Arial"/>
                <w:sz w:val="20"/>
              </w:rPr>
              <w:t>428 m³</w:t>
            </w:r>
          </w:p>
        </w:tc>
        <w:tc>
          <w:tcPr>
            <w:tcW w:type="dxa" w:w="1568"/>
          </w:tcPr>
          <w:p>
            <w:pPr>
              <w:spacing w:after="40" w:line="240" w:lineRule="auto"/>
            </w:pPr>
            <w:r/>
            <w:r>
              <w:rPr>
                <w:rFonts w:ascii="Arial" w:hAnsi="Arial"/>
                <w:sz w:val="20"/>
              </w:rPr>
              <w:t>86 m²</w:t>
            </w:r>
          </w:p>
        </w:tc>
        <w:tc>
          <w:tcPr>
            <w:tcW w:type="dxa" w:w="1568"/>
          </w:tcPr>
          <w:p>
            <w:pPr>
              <w:spacing w:after="40" w:line="240" w:lineRule="auto"/>
            </w:pPr>
            <w:r/>
            <w:r>
              <w:rPr>
                <w:rFonts w:ascii="Arial" w:hAnsi="Arial"/>
                <w:b/>
                <w:sz w:val="20"/>
              </w:rPr>
              <w:t>USD 128.464</w:t>
            </w:r>
          </w:p>
        </w:tc>
      </w:tr>
      <w:tr>
        <w:tc>
          <w:tcPr>
            <w:tcW w:type="dxa" w:w="1568"/>
          </w:tcPr>
          <w:p>
            <w:pPr>
              <w:spacing w:after="40" w:line="240" w:lineRule="auto"/>
            </w:pPr>
            <w:r/>
            <w:r>
              <w:rPr>
                <w:rFonts w:ascii="Arial" w:hAnsi="Arial"/>
                <w:sz w:val="20"/>
              </w:rPr>
              <w:t>A</w:t>
            </w:r>
          </w:p>
        </w:tc>
        <w:tc>
          <w:tcPr>
            <w:tcW w:type="dxa" w:w="1568"/>
          </w:tcPr>
          <w:p>
            <w:pPr>
              <w:spacing w:after="40" w:line="240" w:lineRule="auto"/>
            </w:pPr>
            <w:r/>
            <w:r>
              <w:rPr>
                <w:rFonts w:ascii="Arial" w:hAnsi="Arial"/>
                <w:sz w:val="20"/>
              </w:rPr>
              <w:t>Óptimo</w:t>
            </w:r>
          </w:p>
        </w:tc>
        <w:tc>
          <w:tcPr>
            <w:tcW w:type="dxa" w:w="1568"/>
          </w:tcPr>
          <w:p>
            <w:pPr>
              <w:spacing w:after="40" w:line="240" w:lineRule="auto"/>
            </w:pPr>
            <w:r/>
            <w:r>
              <w:rPr>
                <w:rFonts w:ascii="Arial" w:hAnsi="Arial"/>
                <w:sz w:val="20"/>
              </w:rPr>
              <w:t>75%</w:t>
            </w:r>
          </w:p>
        </w:tc>
        <w:tc>
          <w:tcPr>
            <w:tcW w:type="dxa" w:w="1568"/>
          </w:tcPr>
          <w:p>
            <w:pPr>
              <w:spacing w:after="40" w:line="240" w:lineRule="auto"/>
            </w:pPr>
            <w:r/>
            <w:r>
              <w:rPr>
                <w:rFonts w:ascii="Arial" w:hAnsi="Arial"/>
                <w:sz w:val="20"/>
              </w:rPr>
              <w:t>371 m³</w:t>
            </w:r>
          </w:p>
        </w:tc>
        <w:tc>
          <w:tcPr>
            <w:tcW w:type="dxa" w:w="1568"/>
          </w:tcPr>
          <w:p>
            <w:pPr>
              <w:spacing w:after="40" w:line="240" w:lineRule="auto"/>
            </w:pPr>
            <w:r/>
            <w:r>
              <w:rPr>
                <w:rFonts w:ascii="Arial" w:hAnsi="Arial"/>
                <w:sz w:val="20"/>
              </w:rPr>
              <w:t>74 m²</w:t>
            </w:r>
          </w:p>
        </w:tc>
        <w:tc>
          <w:tcPr>
            <w:tcW w:type="dxa" w:w="1568"/>
          </w:tcPr>
          <w:p>
            <w:pPr>
              <w:spacing w:after="40" w:line="240" w:lineRule="auto"/>
            </w:pPr>
            <w:r/>
            <w:r>
              <w:rPr>
                <w:rFonts w:ascii="Arial" w:hAnsi="Arial"/>
                <w:sz w:val="20"/>
              </w:rPr>
              <w:t>USD 111.336</w:t>
            </w:r>
          </w:p>
        </w:tc>
      </w:tr>
      <w:tr>
        <w:tc>
          <w:tcPr>
            <w:tcW w:type="dxa" w:w="1568"/>
          </w:tcPr>
          <w:p>
            <w:pPr>
              <w:spacing w:after="40" w:line="240" w:lineRule="auto"/>
            </w:pPr>
            <w:r/>
            <w:r>
              <w:rPr>
                <w:rFonts w:ascii="Arial" w:hAnsi="Arial"/>
                <w:sz w:val="20"/>
              </w:rPr>
              <w:t>B</w:t>
            </w:r>
          </w:p>
        </w:tc>
        <w:tc>
          <w:tcPr>
            <w:tcW w:type="dxa" w:w="1568"/>
          </w:tcPr>
          <w:p>
            <w:pPr>
              <w:spacing w:after="40" w:line="240" w:lineRule="auto"/>
            </w:pPr>
            <w:r/>
            <w:r>
              <w:rPr>
                <w:rFonts w:ascii="Arial" w:hAnsi="Arial"/>
                <w:sz w:val="20"/>
              </w:rPr>
              <w:t>Conservador</w:t>
            </w:r>
          </w:p>
        </w:tc>
        <w:tc>
          <w:tcPr>
            <w:tcW w:type="dxa" w:w="1568"/>
          </w:tcPr>
          <w:p>
            <w:pPr>
              <w:spacing w:after="40" w:line="240" w:lineRule="auto"/>
            </w:pPr>
            <w:r/>
            <w:r>
              <w:rPr>
                <w:rFonts w:ascii="Arial" w:hAnsi="Arial"/>
                <w:sz w:val="20"/>
              </w:rPr>
              <w:t>65%</w:t>
            </w:r>
          </w:p>
        </w:tc>
        <w:tc>
          <w:tcPr>
            <w:tcW w:type="dxa" w:w="1568"/>
          </w:tcPr>
          <w:p>
            <w:pPr>
              <w:spacing w:after="40" w:line="240" w:lineRule="auto"/>
            </w:pPr>
            <w:r/>
            <w:r>
              <w:rPr>
                <w:rFonts w:ascii="Arial" w:hAnsi="Arial"/>
                <w:sz w:val="20"/>
              </w:rPr>
              <w:t>400 m³</w:t>
            </w:r>
          </w:p>
        </w:tc>
        <w:tc>
          <w:tcPr>
            <w:tcW w:type="dxa" w:w="1568"/>
          </w:tcPr>
          <w:p>
            <w:pPr>
              <w:spacing w:after="40" w:line="240" w:lineRule="auto"/>
            </w:pPr>
            <w:r/>
            <w:r>
              <w:rPr>
                <w:rFonts w:ascii="Arial" w:hAnsi="Arial"/>
                <w:sz w:val="20"/>
              </w:rPr>
              <w:t>80 m²</w:t>
            </w:r>
          </w:p>
        </w:tc>
        <w:tc>
          <w:tcPr>
            <w:tcW w:type="dxa" w:w="1568"/>
          </w:tcPr>
          <w:p>
            <w:pPr>
              <w:spacing w:after="40" w:line="240" w:lineRule="auto"/>
            </w:pPr>
            <w:r/>
            <w:r>
              <w:rPr>
                <w:rFonts w:ascii="Arial" w:hAnsi="Arial"/>
                <w:sz w:val="20"/>
              </w:rPr>
              <w:t>USD 120.141</w:t>
            </w:r>
          </w:p>
        </w:tc>
      </w:tr>
      <w:tr>
        <w:tc>
          <w:tcPr>
            <w:tcW w:type="dxa" w:w="1568"/>
          </w:tcPr>
          <w:p>
            <w:pPr>
              <w:spacing w:after="40" w:line="240" w:lineRule="auto"/>
            </w:pPr>
            <w:r/>
            <w:r>
              <w:rPr>
                <w:rFonts w:ascii="Arial" w:hAnsi="Arial"/>
                <w:sz w:val="20"/>
              </w:rPr>
              <w:t>B</w:t>
            </w:r>
          </w:p>
        </w:tc>
        <w:tc>
          <w:tcPr>
            <w:tcW w:type="dxa" w:w="1568"/>
          </w:tcPr>
          <w:p>
            <w:pPr>
              <w:spacing w:after="40" w:line="240" w:lineRule="auto"/>
            </w:pPr>
            <w:r/>
            <w:r>
              <w:rPr>
                <w:rFonts w:ascii="Arial" w:hAnsi="Arial"/>
                <w:sz w:val="20"/>
              </w:rPr>
              <w:t>Óptimo</w:t>
            </w:r>
          </w:p>
        </w:tc>
        <w:tc>
          <w:tcPr>
            <w:tcW w:type="dxa" w:w="1568"/>
          </w:tcPr>
          <w:p>
            <w:pPr>
              <w:spacing w:after="40" w:line="240" w:lineRule="auto"/>
            </w:pPr>
            <w:r/>
            <w:r>
              <w:rPr>
                <w:rFonts w:ascii="Arial" w:hAnsi="Arial"/>
                <w:sz w:val="20"/>
              </w:rPr>
              <w:t>75%</w:t>
            </w:r>
          </w:p>
        </w:tc>
        <w:tc>
          <w:tcPr>
            <w:tcW w:type="dxa" w:w="1568"/>
          </w:tcPr>
          <w:p>
            <w:pPr>
              <w:spacing w:after="40" w:line="240" w:lineRule="auto"/>
            </w:pPr>
            <w:r/>
            <w:r>
              <w:rPr>
                <w:rFonts w:ascii="Arial" w:hAnsi="Arial"/>
                <w:sz w:val="20"/>
              </w:rPr>
              <w:t>347 m³</w:t>
            </w:r>
          </w:p>
        </w:tc>
        <w:tc>
          <w:tcPr>
            <w:tcW w:type="dxa" w:w="1568"/>
          </w:tcPr>
          <w:p>
            <w:pPr>
              <w:spacing w:after="40" w:line="240" w:lineRule="auto"/>
            </w:pPr>
            <w:r/>
            <w:r>
              <w:rPr>
                <w:rFonts w:ascii="Arial" w:hAnsi="Arial"/>
                <w:sz w:val="20"/>
              </w:rPr>
              <w:t>69 m²</w:t>
            </w:r>
          </w:p>
        </w:tc>
        <w:tc>
          <w:tcPr>
            <w:tcW w:type="dxa" w:w="1568"/>
          </w:tcPr>
          <w:p>
            <w:pPr>
              <w:spacing w:after="40" w:line="240" w:lineRule="auto"/>
            </w:pPr>
            <w:r/>
            <w:r>
              <w:rPr>
                <w:rFonts w:ascii="Arial" w:hAnsi="Arial"/>
                <w:sz w:val="20"/>
              </w:rPr>
              <w:t>USD 104.123</w:t>
            </w:r>
          </w:p>
        </w:tc>
      </w:tr>
    </w:tbl>
    <w:p/>
    <w:p>
      <w:pPr>
        <w:keepNext/>
        <w:spacing w:before="360" w:after="120"/>
      </w:pPr>
      <w:r>
        <w:rPr>
          <w:rFonts w:ascii="Arial" w:hAnsi="Arial"/>
          <w:b/>
          <w:sz w:val="32"/>
        </w:rPr>
        <w:t>8.4. ¿Alguna política es inviable por el espacio?</w:t>
      </w:r>
    </w:p>
    <w:p>
      <w:r>
        <w:rPr>
          <w:rFonts w:ascii="Arial" w:hAnsi="Arial"/>
          <w:sz w:val="22"/>
        </w:rPr>
        <w:t xml:space="preserve">Acá aparece algo que no esperábamos: la política más barata </w:t>
      </w:r>
      <w:r>
        <w:rPr>
          <w:rFonts w:ascii="Arial" w:hAnsi="Arial"/>
          <w:b/>
          <w:sz w:val="22"/>
        </w:rPr>
        <w:t>no</w:t>
      </w:r>
      <w:r>
        <w:rPr>
          <w:rFonts w:ascii="Arial" w:hAnsi="Arial"/>
          <w:sz w:val="22"/>
        </w:rPr>
        <w:t xml:space="preserve"> es la que menos espacio necesita.</w:t>
      </w:r>
    </w:p>
    <w:p>
      <w:r>
        <w:rPr>
          <w:rFonts w:ascii="Arial" w:hAnsi="Arial"/>
          <w:sz w:val="22"/>
        </w:rPr>
        <w:t xml:space="preserve">La Política A pide 18 m³ más que la B, un 6,9%, porque lleva más stock de seguridad. En el escenario conservador eso significa </w:t>
      </w:r>
      <w:r>
        <w:rPr>
          <w:rFonts w:ascii="Arial" w:hAnsi="Arial"/>
          <w:b/>
          <w:sz w:val="22"/>
        </w:rPr>
        <w:t>USD 8.323 adicionales de obra</w:t>
      </w:r>
      <w:r>
        <w:rPr>
          <w:rFonts w:ascii="Arial" w:hAnsi="Arial"/>
          <w:sz w:val="22"/>
        </w:rPr>
        <w:t>.</w:t>
      </w:r>
    </w:p>
    <w:p>
      <w:r>
        <w:rPr>
          <w:rFonts w:ascii="Arial" w:hAnsi="Arial"/>
          <w:sz w:val="22"/>
        </w:rPr>
        <w:t xml:space="preserve">Pero hay que comparar sobre el mismo horizonte. Ese sobrecosto de obra se paga </w:t>
      </w:r>
      <w:r>
        <w:rPr>
          <w:rFonts w:ascii="Arial" w:hAnsi="Arial"/>
          <w:b/>
          <w:sz w:val="22"/>
        </w:rPr>
        <w:t>una sola vez</w:t>
      </w:r>
      <w:r>
        <w:rPr>
          <w:rFonts w:ascii="Arial" w:hAnsi="Arial"/>
          <w:sz w:val="22"/>
        </w:rPr>
        <w:t xml:space="preserve">, mientras que la diferencia de costo operativo —los USD 7.250 que ya vimos— se repite </w:t>
      </w:r>
      <w:r>
        <w:rPr>
          <w:rFonts w:ascii="Arial" w:hAnsi="Arial"/>
          <w:b/>
          <w:sz w:val="22"/>
        </w:rPr>
        <w:t>todos los años</w:t>
      </w:r>
      <w:r>
        <w:rPr>
          <w:rFonts w:ascii="Arial" w:hAnsi="Arial"/>
          <w:sz w:val="22"/>
        </w:rPr>
        <w:t>. La inversión adicional se recupera en poco más de un año y a partir de ahí es ahorro neto.</w:t>
      </w:r>
    </w:p>
    <w:p>
      <w:r>
        <w:rPr>
          <w:rFonts w:ascii="Arial" w:hAnsi="Arial"/>
          <w:b/>
          <w:sz w:val="22"/>
        </w:rPr>
        <w:t>Las dos políticas son factibles y la restricción de capacidad no cambia la recomendación.</w:t>
      </w:r>
    </w:p>
    <w:p>
      <w:r>
        <w:rPr>
          <w:rFonts w:ascii="Arial" w:hAnsi="Arial"/>
          <w:sz w:val="22"/>
        </w:rPr>
        <w:t>Una última aclaración sobre el alcance. Este número cubre el inventario de insumos, que es lo que pide el estudio. Un depósito en operación real necesita además lugar para material en proceso, para vehículos terminados esperando entrega y para devoluciones. Y si algún proveedor impone un lote mínimo de compra, habría que recibir más de lo que dice el modelo. Así que conviene leer la cifra como un piso para el sector de insumos, no como el tamaño total del edificio.</w:t>
      </w:r>
    </w:p>
    <w:p>
      <w:pPr>
        <w:keepNext/>
        <w:spacing w:before="400" w:after="120"/>
      </w:pPr>
      <w:r>
        <w:rPr>
          <w:rFonts w:ascii="Arial" w:hAnsi="Arial"/>
          <w:b w:val="0"/>
          <w:sz w:val="40"/>
        </w:rPr>
        <w:t>9. Análisis de Sensibilidad</w:t>
      </w:r>
    </w:p>
    <w:p>
      <w:pPr>
        <w:keepNext/>
        <w:spacing w:before="360" w:after="120"/>
      </w:pPr>
      <w:r>
        <w:rPr>
          <w:rFonts w:ascii="Arial" w:hAnsi="Arial"/>
          <w:b/>
          <w:sz w:val="32"/>
        </w:rPr>
        <w:t>9.1. Sensibilidad al Costo de Agotamiento (±30%)</w:t>
      </w:r>
    </w:p>
    <w:p>
      <w:r>
        <w:rPr>
          <w:rFonts w:ascii="Arial" w:hAnsi="Arial"/>
          <w:sz w:val="22"/>
        </w:rPr>
        <w:t>El costo de agotamiento es el parámetro más discutible de todo el modelo, porque lo tuvimos que derivar de un precio de venta que el enunciado no nos da. Así que corresponde ver qué pasaría si ese número estuviera mal.</w:t>
      </w:r>
    </w:p>
    <w:p>
      <w:r>
        <w:rPr>
          <w:rFonts w:ascii="Arial" w:hAnsi="Arial"/>
          <w:sz w:val="22"/>
        </w:rPr>
        <w:t xml:space="preserve">Un punto importante del procedimiento: no alcanza con recalcular el costo dejando la política fija. Lo que hicimos fue </w:t>
      </w:r>
      <w:r>
        <w:rPr>
          <w:rFonts w:ascii="Arial" w:hAnsi="Arial"/>
          <w:b/>
          <w:sz w:val="22"/>
        </w:rPr>
        <w:t>volver a resolver la ecuación (13) con cada valor de c_B</w:t>
      </w:r>
      <w:r>
        <w:rPr>
          <w:rFonts w:ascii="Arial" w:hAnsi="Arial"/>
          <w:sz w:val="22"/>
        </w:rPr>
        <w:t>, porque si el costo de agotamiento sube, el modelo elige un punto de reabastecimiento más alto, y ese reajuste es justamente lo que interesa medir.</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76"/>
        <w:gridCol w:w="1176"/>
        <w:gridCol w:w="1176"/>
        <w:gridCol w:w="1176"/>
        <w:gridCol w:w="1176"/>
        <w:gridCol w:w="1176"/>
        <w:gridCol w:w="1176"/>
        <w:gridCol w:w="1176"/>
      </w:tblGrid>
      <w:tr>
        <w:tc>
          <w:tcPr>
            <w:tcW w:type="dxa" w:w="1176"/>
          </w:tcPr>
          <w:p>
            <w:pPr>
              <w:spacing w:after="40" w:line="240" w:lineRule="auto"/>
            </w:pPr>
            <w:r/>
            <w:r>
              <w:rPr>
                <w:rFonts w:ascii="Arial" w:hAnsi="Arial"/>
                <w:b/>
                <w:sz w:val="20"/>
              </w:rPr>
              <w:t>Escenario</w:t>
            </w:r>
          </w:p>
        </w:tc>
        <w:tc>
          <w:tcPr>
            <w:tcW w:type="dxa" w:w="1176"/>
          </w:tcPr>
          <w:p>
            <w:pPr>
              <w:spacing w:after="40" w:line="240" w:lineRule="auto"/>
            </w:pPr>
            <w:r/>
            <w:r>
              <w:rPr>
                <w:rFonts w:ascii="Arial" w:hAnsi="Arial"/>
                <w:b/>
                <w:sz w:val="20"/>
              </w:rPr>
              <w:t>q prom.</w:t>
            </w:r>
          </w:p>
        </w:tc>
        <w:tc>
          <w:tcPr>
            <w:tcW w:type="dxa" w:w="1176"/>
          </w:tcPr>
          <w:p>
            <w:pPr>
              <w:spacing w:after="40" w:line="240" w:lineRule="auto"/>
            </w:pPr>
            <w:r/>
            <w:r>
              <w:rPr>
                <w:rFonts w:ascii="Arial" w:hAnsi="Arial"/>
                <w:b/>
                <w:sz w:val="20"/>
              </w:rPr>
              <w:t>Stock seg.</w:t>
            </w:r>
          </w:p>
        </w:tc>
        <w:tc>
          <w:tcPr>
            <w:tcW w:type="dxa" w:w="1176"/>
          </w:tcPr>
          <w:p>
            <w:pPr>
              <w:spacing w:after="40" w:line="240" w:lineRule="auto"/>
            </w:pPr>
            <w:r/>
            <w:r>
              <w:rPr>
                <w:rFonts w:ascii="Arial" w:hAnsi="Arial"/>
                <w:b/>
                <w:sz w:val="20"/>
              </w:rPr>
              <w:t>Déficit anual</w:t>
            </w:r>
          </w:p>
        </w:tc>
        <w:tc>
          <w:tcPr>
            <w:tcW w:type="dxa" w:w="1176"/>
          </w:tcPr>
          <w:p>
            <w:pPr>
              <w:spacing w:after="40" w:line="240" w:lineRule="auto"/>
            </w:pPr>
            <w:r/>
            <w:r>
              <w:rPr>
                <w:rFonts w:ascii="Arial" w:hAnsi="Arial"/>
                <w:b/>
                <w:sz w:val="20"/>
              </w:rPr>
              <w:t>TC total</w:t>
            </w:r>
          </w:p>
        </w:tc>
        <w:tc>
          <w:tcPr>
            <w:tcW w:type="dxa" w:w="1176"/>
          </w:tcPr>
          <w:p>
            <w:pPr>
              <w:spacing w:after="40" w:line="240" w:lineRule="auto"/>
            </w:pPr>
            <w:r/>
            <w:r>
              <w:rPr>
                <w:rFonts w:ascii="Arial" w:hAnsi="Arial"/>
                <w:b/>
                <w:sz w:val="20"/>
              </w:rPr>
              <w:t>Δ TC</w:t>
            </w:r>
          </w:p>
        </w:tc>
        <w:tc>
          <w:tcPr>
            <w:tcW w:type="dxa" w:w="1176"/>
          </w:tcPr>
          <w:p>
            <w:pPr>
              <w:spacing w:after="40" w:line="240" w:lineRule="auto"/>
            </w:pPr>
            <w:r/>
            <w:r>
              <w:rPr>
                <w:rFonts w:ascii="Arial" w:hAnsi="Arial"/>
                <w:b/>
                <w:sz w:val="20"/>
              </w:rPr>
              <w:t>P(X≥r)</w:t>
            </w:r>
          </w:p>
        </w:tc>
        <w:tc>
          <w:tcPr>
            <w:tcW w:type="dxa" w:w="1176"/>
          </w:tcPr>
          <w:p>
            <w:pPr>
              <w:spacing w:after="40" w:line="240" w:lineRule="auto"/>
            </w:pPr>
            <w:r/>
            <w:r>
              <w:rPr>
                <w:rFonts w:ascii="Arial" w:hAnsi="Arial"/>
                <w:b/>
                <w:sz w:val="20"/>
              </w:rPr>
              <w:t>SLM₁</w:t>
            </w:r>
          </w:p>
        </w:tc>
      </w:tr>
      <w:tr>
        <w:tc>
          <w:tcPr>
            <w:tcW w:type="dxa" w:w="1176"/>
          </w:tcPr>
          <w:p>
            <w:pPr>
              <w:spacing w:after="40" w:line="240" w:lineRule="auto"/>
            </w:pPr>
            <w:r/>
            <w:r>
              <w:rPr>
                <w:rFonts w:ascii="Arial" w:hAnsi="Arial"/>
                <w:sz w:val="20"/>
              </w:rPr>
              <w:t>c_B − 30%</w:t>
            </w:r>
          </w:p>
        </w:tc>
        <w:tc>
          <w:tcPr>
            <w:tcW w:type="dxa" w:w="1176"/>
          </w:tcPr>
          <w:p>
            <w:pPr>
              <w:spacing w:after="40" w:line="240" w:lineRule="auto"/>
            </w:pPr>
            <w:r/>
            <w:r>
              <w:rPr>
                <w:rFonts w:ascii="Arial" w:hAnsi="Arial"/>
                <w:sz w:val="20"/>
              </w:rPr>
              <w:t>14,78</w:t>
            </w:r>
          </w:p>
        </w:tc>
        <w:tc>
          <w:tcPr>
            <w:tcW w:type="dxa" w:w="1176"/>
          </w:tcPr>
          <w:p>
            <w:pPr>
              <w:spacing w:after="40" w:line="240" w:lineRule="auto"/>
            </w:pPr>
            <w:r/>
            <w:r>
              <w:rPr>
                <w:rFonts w:ascii="Arial" w:hAnsi="Arial"/>
                <w:sz w:val="20"/>
              </w:rPr>
              <w:t>46,71</w:t>
            </w:r>
          </w:p>
        </w:tc>
        <w:tc>
          <w:tcPr>
            <w:tcW w:type="dxa" w:w="1176"/>
          </w:tcPr>
          <w:p>
            <w:pPr>
              <w:spacing w:after="40" w:line="240" w:lineRule="auto"/>
            </w:pPr>
            <w:r/>
            <w:r>
              <w:rPr>
                <w:rFonts w:ascii="Arial" w:hAnsi="Arial"/>
                <w:sz w:val="20"/>
              </w:rPr>
              <w:t>13,36</w:t>
            </w:r>
          </w:p>
        </w:tc>
        <w:tc>
          <w:tcPr>
            <w:tcW w:type="dxa" w:w="1176"/>
          </w:tcPr>
          <w:p>
            <w:pPr>
              <w:spacing w:after="40" w:line="240" w:lineRule="auto"/>
            </w:pPr>
            <w:r/>
            <w:r>
              <w:rPr>
                <w:rFonts w:ascii="Arial" w:hAnsi="Arial"/>
                <w:sz w:val="20"/>
              </w:rPr>
              <w:t>205.724</w:t>
            </w:r>
          </w:p>
        </w:tc>
        <w:tc>
          <w:tcPr>
            <w:tcW w:type="dxa" w:w="1176"/>
          </w:tcPr>
          <w:p>
            <w:pPr>
              <w:spacing w:after="40" w:line="240" w:lineRule="auto"/>
            </w:pPr>
            <w:r/>
            <w:r>
              <w:rPr>
                <w:rFonts w:ascii="Arial" w:hAnsi="Arial"/>
                <w:sz w:val="20"/>
              </w:rPr>
              <w:t>−2,76%</w:t>
            </w:r>
          </w:p>
        </w:tc>
        <w:tc>
          <w:tcPr>
            <w:tcW w:type="dxa" w:w="1176"/>
          </w:tcPr>
          <w:p>
            <w:pPr>
              <w:spacing w:after="40" w:line="240" w:lineRule="auto"/>
            </w:pPr>
            <w:r/>
            <w:r>
              <w:rPr>
                <w:rFonts w:ascii="Arial" w:hAnsi="Arial"/>
                <w:sz w:val="20"/>
              </w:rPr>
              <w:t>0,0377</w:t>
            </w:r>
          </w:p>
        </w:tc>
        <w:tc>
          <w:tcPr>
            <w:tcW w:type="dxa" w:w="1176"/>
          </w:tcPr>
          <w:p>
            <w:pPr>
              <w:spacing w:after="40" w:line="240" w:lineRule="auto"/>
            </w:pPr>
            <w:r/>
            <w:r>
              <w:rPr>
                <w:rFonts w:ascii="Arial" w:hAnsi="Arial"/>
                <w:sz w:val="20"/>
              </w:rPr>
              <w:t>99,44%</w:t>
            </w:r>
          </w:p>
        </w:tc>
      </w:tr>
      <w:tr>
        <w:tc>
          <w:tcPr>
            <w:tcW w:type="dxa" w:w="1176"/>
          </w:tcPr>
          <w:p>
            <w:pPr>
              <w:spacing w:after="40" w:line="240" w:lineRule="auto"/>
            </w:pPr>
            <w:r/>
            <w:r>
              <w:rPr>
                <w:rFonts w:ascii="Arial" w:hAnsi="Arial"/>
                <w:sz w:val="20"/>
              </w:rPr>
              <w:t>c_B base</w:t>
            </w:r>
          </w:p>
        </w:tc>
        <w:tc>
          <w:tcPr>
            <w:tcW w:type="dxa" w:w="1176"/>
          </w:tcPr>
          <w:p>
            <w:pPr>
              <w:spacing w:after="40" w:line="240" w:lineRule="auto"/>
            </w:pPr>
            <w:r/>
            <w:r>
              <w:rPr>
                <w:rFonts w:ascii="Arial" w:hAnsi="Arial"/>
                <w:sz w:val="20"/>
              </w:rPr>
              <w:t>14,78</w:t>
            </w:r>
          </w:p>
        </w:tc>
        <w:tc>
          <w:tcPr>
            <w:tcW w:type="dxa" w:w="1176"/>
          </w:tcPr>
          <w:p>
            <w:pPr>
              <w:spacing w:after="40" w:line="240" w:lineRule="auto"/>
            </w:pPr>
            <w:r/>
            <w:r>
              <w:rPr>
                <w:rFonts w:ascii="Arial" w:hAnsi="Arial"/>
                <w:sz w:val="20"/>
              </w:rPr>
              <w:t>50,65</w:t>
            </w:r>
          </w:p>
        </w:tc>
        <w:tc>
          <w:tcPr>
            <w:tcW w:type="dxa" w:w="1176"/>
          </w:tcPr>
          <w:p>
            <w:pPr>
              <w:spacing w:after="40" w:line="240" w:lineRule="auto"/>
            </w:pPr>
            <w:r/>
            <w:r>
              <w:rPr>
                <w:rFonts w:ascii="Arial" w:hAnsi="Arial"/>
                <w:sz w:val="20"/>
              </w:rPr>
              <w:t>8,89</w:t>
            </w:r>
          </w:p>
        </w:tc>
        <w:tc>
          <w:tcPr>
            <w:tcW w:type="dxa" w:w="1176"/>
          </w:tcPr>
          <w:p>
            <w:pPr>
              <w:spacing w:after="40" w:line="240" w:lineRule="auto"/>
            </w:pPr>
            <w:r/>
            <w:r>
              <w:rPr>
                <w:rFonts w:ascii="Arial" w:hAnsi="Arial"/>
                <w:sz w:val="20"/>
              </w:rPr>
              <w:t>211.553</w:t>
            </w:r>
          </w:p>
        </w:tc>
        <w:tc>
          <w:tcPr>
            <w:tcW w:type="dxa" w:w="1176"/>
          </w:tcPr>
          <w:p>
            <w:pPr>
              <w:spacing w:after="40" w:line="240" w:lineRule="auto"/>
            </w:pPr>
            <w:r/>
            <w:r>
              <w:rPr>
                <w:rFonts w:ascii="Arial" w:hAnsi="Arial"/>
                <w:sz w:val="20"/>
              </w:rPr>
              <w:t>—</w:t>
            </w:r>
          </w:p>
        </w:tc>
        <w:tc>
          <w:tcPr>
            <w:tcW w:type="dxa" w:w="1176"/>
          </w:tcPr>
          <w:p>
            <w:pPr>
              <w:spacing w:after="40" w:line="240" w:lineRule="auto"/>
            </w:pPr>
            <w:r/>
            <w:r>
              <w:rPr>
                <w:rFonts w:ascii="Arial" w:hAnsi="Arial"/>
                <w:sz w:val="20"/>
              </w:rPr>
              <w:t>0,0264</w:t>
            </w:r>
          </w:p>
        </w:tc>
        <w:tc>
          <w:tcPr>
            <w:tcW w:type="dxa" w:w="1176"/>
          </w:tcPr>
          <w:p>
            <w:pPr>
              <w:spacing w:after="40" w:line="240" w:lineRule="auto"/>
            </w:pPr>
            <w:r/>
            <w:r>
              <w:rPr>
                <w:rFonts w:ascii="Arial" w:hAnsi="Arial"/>
                <w:sz w:val="20"/>
              </w:rPr>
              <w:t>99,63%</w:t>
            </w:r>
          </w:p>
        </w:tc>
      </w:tr>
      <w:tr>
        <w:tc>
          <w:tcPr>
            <w:tcW w:type="dxa" w:w="1176"/>
          </w:tcPr>
          <w:p>
            <w:pPr>
              <w:spacing w:after="40" w:line="240" w:lineRule="auto"/>
            </w:pPr>
            <w:r/>
            <w:r>
              <w:rPr>
                <w:rFonts w:ascii="Arial" w:hAnsi="Arial"/>
                <w:sz w:val="20"/>
              </w:rPr>
              <w:t>c_B + 30%</w:t>
            </w:r>
          </w:p>
        </w:tc>
        <w:tc>
          <w:tcPr>
            <w:tcW w:type="dxa" w:w="1176"/>
          </w:tcPr>
          <w:p>
            <w:pPr>
              <w:spacing w:after="40" w:line="240" w:lineRule="auto"/>
            </w:pPr>
            <w:r/>
            <w:r>
              <w:rPr>
                <w:rFonts w:ascii="Arial" w:hAnsi="Arial"/>
                <w:sz w:val="20"/>
              </w:rPr>
              <w:t>14,78</w:t>
            </w:r>
          </w:p>
        </w:tc>
        <w:tc>
          <w:tcPr>
            <w:tcW w:type="dxa" w:w="1176"/>
          </w:tcPr>
          <w:p>
            <w:pPr>
              <w:spacing w:after="40" w:line="240" w:lineRule="auto"/>
            </w:pPr>
            <w:r/>
            <w:r>
              <w:rPr>
                <w:rFonts w:ascii="Arial" w:hAnsi="Arial"/>
                <w:sz w:val="20"/>
              </w:rPr>
              <w:t>53,40</w:t>
            </w:r>
          </w:p>
        </w:tc>
        <w:tc>
          <w:tcPr>
            <w:tcW w:type="dxa" w:w="1176"/>
          </w:tcPr>
          <w:p>
            <w:pPr>
              <w:spacing w:after="40" w:line="240" w:lineRule="auto"/>
            </w:pPr>
            <w:r/>
            <w:r>
              <w:rPr>
                <w:rFonts w:ascii="Arial" w:hAnsi="Arial"/>
                <w:sz w:val="20"/>
              </w:rPr>
              <w:t>6,61</w:t>
            </w:r>
          </w:p>
        </w:tc>
        <w:tc>
          <w:tcPr>
            <w:tcW w:type="dxa" w:w="1176"/>
          </w:tcPr>
          <w:p>
            <w:pPr>
              <w:spacing w:after="40" w:line="240" w:lineRule="auto"/>
            </w:pPr>
            <w:r/>
            <w:r>
              <w:rPr>
                <w:rFonts w:ascii="Arial" w:hAnsi="Arial"/>
                <w:sz w:val="20"/>
              </w:rPr>
              <w:t>215.663</w:t>
            </w:r>
          </w:p>
        </w:tc>
        <w:tc>
          <w:tcPr>
            <w:tcW w:type="dxa" w:w="1176"/>
          </w:tcPr>
          <w:p>
            <w:pPr>
              <w:spacing w:after="40" w:line="240" w:lineRule="auto"/>
            </w:pPr>
            <w:r/>
            <w:r>
              <w:rPr>
                <w:rFonts w:ascii="Arial" w:hAnsi="Arial"/>
                <w:sz w:val="20"/>
              </w:rPr>
              <w:t>+1,94%</w:t>
            </w:r>
          </w:p>
        </w:tc>
        <w:tc>
          <w:tcPr>
            <w:tcW w:type="dxa" w:w="1176"/>
          </w:tcPr>
          <w:p>
            <w:pPr>
              <w:spacing w:after="40" w:line="240" w:lineRule="auto"/>
            </w:pPr>
            <w:r/>
            <w:r>
              <w:rPr>
                <w:rFonts w:ascii="Arial" w:hAnsi="Arial"/>
                <w:sz w:val="20"/>
              </w:rPr>
              <w:t>0,0203</w:t>
            </w:r>
          </w:p>
        </w:tc>
        <w:tc>
          <w:tcPr>
            <w:tcW w:type="dxa" w:w="1176"/>
          </w:tcPr>
          <w:p>
            <w:pPr>
              <w:spacing w:after="40" w:line="240" w:lineRule="auto"/>
            </w:pPr>
            <w:r/>
            <w:r>
              <w:rPr>
                <w:rFonts w:ascii="Arial" w:hAnsi="Arial"/>
                <w:sz w:val="20"/>
              </w:rPr>
              <w:t>99,72%</w:t>
            </w:r>
          </w:p>
        </w:tc>
      </w:tr>
    </w:tbl>
    <w:p/>
    <w:p>
      <w:r>
        <w:rPr>
          <w:rFonts w:ascii="Arial" w:hAnsi="Arial"/>
          <w:sz w:val="22"/>
        </w:rPr>
        <w:t>Las conclusiones son tres.</w:t>
      </w:r>
    </w:p>
    <w:p>
      <w:r>
        <w:rPr>
          <w:rFonts w:ascii="Arial" w:hAnsi="Arial"/>
          <w:sz w:val="22"/>
        </w:rPr>
        <w:t>Una variación de ±30% en el costo de agotamiento mueve el costo total apenas entre −2,76% y +1,94%. El modelo absorbe buena parte del error reajustando la política, así que el resultado es bastante robusto frente a la incertidumbre de este parámetro.</w:t>
      </w:r>
    </w:p>
    <w:p>
      <w:r>
        <w:rPr>
          <w:rFonts w:ascii="Arial" w:hAnsi="Arial"/>
          <w:b/>
          <w:sz w:val="22"/>
        </w:rPr>
        <w:t>La cantidad de pedido no se mueve en absoluto.</w:t>
      </w:r>
      <w:r>
        <w:rPr>
          <w:rFonts w:ascii="Arial" w:hAnsi="Arial"/>
          <w:sz w:val="22"/>
        </w:rPr>
        <w:t xml:space="preserve"> Esto se lee directo en la ecuación (13): el EOQ no depende de c_B. Todo el ajuste pasa por el punto de reabastecimiento, que hace subir el stock de seguridad de 46,71 a 53,40 unidades.</w:t>
      </w:r>
    </w:p>
    <w:p>
      <w:r>
        <w:rPr>
          <w:rFonts w:ascii="Arial" w:hAnsi="Arial"/>
          <w:sz w:val="22"/>
        </w:rPr>
        <w:t xml:space="preserve">Y lo más importante: aun en el escenario más desfavorable, con el costo de agotamiento un 30% por debajo de lo que estimamos, la probabilidad de quedarse sin stock (0,0377) sigue estando </w:t>
      </w:r>
      <w:r>
        <w:rPr>
          <w:rFonts w:ascii="Arial" w:hAnsi="Arial"/>
          <w:b/>
          <w:sz w:val="22"/>
        </w:rPr>
        <w:t>por debajo del 0,05 exigido a la Política B</w:t>
      </w:r>
      <w:r>
        <w:rPr>
          <w:rFonts w:ascii="Arial" w:hAnsi="Arial"/>
          <w:sz w:val="22"/>
        </w:rPr>
        <w:t>. La recomendación no cambia.</w:t>
      </w:r>
    </w:p>
    <w:p>
      <w:pPr>
        <w:keepNext/>
        <w:spacing w:before="360" w:after="120"/>
      </w:pPr>
      <w:r>
        <w:rPr>
          <w:rFonts w:ascii="Arial" w:hAnsi="Arial"/>
          <w:b/>
          <w:sz w:val="32"/>
        </w:rPr>
        <w:t>9.2. Sensibilidad al Riesgo (+15% de incertidumbre)</w:t>
      </w:r>
    </w:p>
    <w:p>
      <w:r>
        <w:rPr>
          <w:rFonts w:ascii="Arial" w:hAnsi="Arial"/>
          <w:sz w:val="22"/>
        </w:rPr>
        <w:t>Luego se evaluó qué pasa con la existencia de una mayor incertidumbre en la demanda, en este caso del 15%. Es decir, qué pasa si el mercado se vuelve más volátil y el pronóstico empieza a fallar más de lo que falla hoy.</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44"/>
        <w:gridCol w:w="1344"/>
        <w:gridCol w:w="1344"/>
        <w:gridCol w:w="1344"/>
        <w:gridCol w:w="1344"/>
        <w:gridCol w:w="1344"/>
        <w:gridCol w:w="1344"/>
      </w:tblGrid>
      <w:tr>
        <w:tc>
          <w:tcPr>
            <w:tcW w:type="dxa" w:w="1344"/>
          </w:tcPr>
          <w:p>
            <w:pPr>
              <w:spacing w:after="40" w:line="240" w:lineRule="auto"/>
            </w:pPr>
            <w:r/>
            <w:r>
              <w:rPr>
                <w:rFonts w:ascii="Arial" w:hAnsi="Arial"/>
                <w:b/>
                <w:sz w:val="20"/>
              </w:rPr>
              <w:t>Política</w:t>
            </w:r>
          </w:p>
        </w:tc>
        <w:tc>
          <w:tcPr>
            <w:tcW w:type="dxa" w:w="1344"/>
          </w:tcPr>
          <w:p>
            <w:pPr>
              <w:spacing w:after="40" w:line="240" w:lineRule="auto"/>
            </w:pPr>
            <w:r/>
            <w:r>
              <w:rPr>
                <w:rFonts w:ascii="Arial" w:hAnsi="Arial"/>
                <w:b/>
                <w:sz w:val="20"/>
              </w:rPr>
              <w:t>Stock seg. base</w:t>
            </w:r>
          </w:p>
        </w:tc>
        <w:tc>
          <w:tcPr>
            <w:tcW w:type="dxa" w:w="1344"/>
          </w:tcPr>
          <w:p>
            <w:pPr>
              <w:spacing w:after="40" w:line="240" w:lineRule="auto"/>
            </w:pPr>
            <w:r/>
            <w:r>
              <w:rPr>
                <w:rFonts w:ascii="Arial" w:hAnsi="Arial"/>
                <w:b/>
                <w:sz w:val="20"/>
              </w:rPr>
              <w:t>Stock seg. +15%</w:t>
            </w:r>
          </w:p>
        </w:tc>
        <w:tc>
          <w:tcPr>
            <w:tcW w:type="dxa" w:w="1344"/>
          </w:tcPr>
          <w:p>
            <w:pPr>
              <w:spacing w:after="40" w:line="240" w:lineRule="auto"/>
            </w:pPr>
            <w:r/>
            <w:r>
              <w:rPr>
                <w:rFonts w:ascii="Arial" w:hAnsi="Arial"/>
                <w:b/>
                <w:sz w:val="20"/>
              </w:rPr>
              <w:t>Δ SS</w:t>
            </w:r>
          </w:p>
        </w:tc>
        <w:tc>
          <w:tcPr>
            <w:tcW w:type="dxa" w:w="1344"/>
          </w:tcPr>
          <w:p>
            <w:pPr>
              <w:spacing w:after="40" w:line="240" w:lineRule="auto"/>
            </w:pPr>
            <w:r/>
            <w:r>
              <w:rPr>
                <w:rFonts w:ascii="Arial" w:hAnsi="Arial"/>
                <w:b/>
                <w:sz w:val="20"/>
              </w:rPr>
              <w:t>TC base</w:t>
            </w:r>
          </w:p>
        </w:tc>
        <w:tc>
          <w:tcPr>
            <w:tcW w:type="dxa" w:w="1344"/>
          </w:tcPr>
          <w:p>
            <w:pPr>
              <w:spacing w:after="40" w:line="240" w:lineRule="auto"/>
            </w:pPr>
            <w:r/>
            <w:r>
              <w:rPr>
                <w:rFonts w:ascii="Arial" w:hAnsi="Arial"/>
                <w:b/>
                <w:sz w:val="20"/>
              </w:rPr>
              <w:t>TC +15%</w:t>
            </w:r>
          </w:p>
        </w:tc>
        <w:tc>
          <w:tcPr>
            <w:tcW w:type="dxa" w:w="1344"/>
          </w:tcPr>
          <w:p>
            <w:pPr>
              <w:spacing w:after="40" w:line="240" w:lineRule="auto"/>
            </w:pPr>
            <w:r/>
            <w:r>
              <w:rPr>
                <w:rFonts w:ascii="Arial" w:hAnsi="Arial"/>
                <w:b/>
                <w:sz w:val="20"/>
              </w:rPr>
              <w:t>Δ TC</w:t>
            </w:r>
          </w:p>
        </w:tc>
      </w:tr>
      <w:tr>
        <w:tc>
          <w:tcPr>
            <w:tcW w:type="dxa" w:w="1344"/>
          </w:tcPr>
          <w:p>
            <w:pPr>
              <w:spacing w:after="40" w:line="240" w:lineRule="auto"/>
            </w:pPr>
            <w:r/>
            <w:r>
              <w:rPr>
                <w:rFonts w:ascii="Arial" w:hAnsi="Arial"/>
                <w:sz w:val="20"/>
              </w:rPr>
              <w:t>A</w:t>
            </w:r>
          </w:p>
        </w:tc>
        <w:tc>
          <w:tcPr>
            <w:tcW w:type="dxa" w:w="1344"/>
          </w:tcPr>
          <w:p>
            <w:pPr>
              <w:spacing w:after="40" w:line="240" w:lineRule="auto"/>
            </w:pPr>
            <w:r/>
            <w:r>
              <w:rPr>
                <w:rFonts w:ascii="Arial" w:hAnsi="Arial"/>
                <w:sz w:val="20"/>
              </w:rPr>
              <w:t>50,65</w:t>
            </w:r>
          </w:p>
        </w:tc>
        <w:tc>
          <w:tcPr>
            <w:tcW w:type="dxa" w:w="1344"/>
          </w:tcPr>
          <w:p>
            <w:pPr>
              <w:spacing w:after="40" w:line="240" w:lineRule="auto"/>
            </w:pPr>
            <w:r/>
            <w:r>
              <w:rPr>
                <w:rFonts w:ascii="Arial" w:hAnsi="Arial"/>
                <w:sz w:val="20"/>
              </w:rPr>
              <w:t>58,24</w:t>
            </w:r>
          </w:p>
        </w:tc>
        <w:tc>
          <w:tcPr>
            <w:tcW w:type="dxa" w:w="1344"/>
          </w:tcPr>
          <w:p>
            <w:pPr>
              <w:spacing w:after="40" w:line="240" w:lineRule="auto"/>
            </w:pPr>
            <w:r/>
            <w:r>
              <w:rPr>
                <w:rFonts w:ascii="Arial" w:hAnsi="Arial"/>
                <w:b/>
                <w:sz w:val="20"/>
              </w:rPr>
              <w:t>+15,00%</w:t>
            </w:r>
          </w:p>
        </w:tc>
        <w:tc>
          <w:tcPr>
            <w:tcW w:type="dxa" w:w="1344"/>
          </w:tcPr>
          <w:p>
            <w:pPr>
              <w:spacing w:after="40" w:line="240" w:lineRule="auto"/>
            </w:pPr>
            <w:r/>
            <w:r>
              <w:rPr>
                <w:rFonts w:ascii="Arial" w:hAnsi="Arial"/>
                <w:sz w:val="20"/>
              </w:rPr>
              <w:t>211.553</w:t>
            </w:r>
          </w:p>
        </w:tc>
        <w:tc>
          <w:tcPr>
            <w:tcW w:type="dxa" w:w="1344"/>
          </w:tcPr>
          <w:p>
            <w:pPr>
              <w:spacing w:after="40" w:line="240" w:lineRule="auto"/>
            </w:pPr>
            <w:r/>
            <w:r>
              <w:rPr>
                <w:rFonts w:ascii="Arial" w:hAnsi="Arial"/>
                <w:sz w:val="20"/>
              </w:rPr>
              <w:t>226.126</w:t>
            </w:r>
          </w:p>
        </w:tc>
        <w:tc>
          <w:tcPr>
            <w:tcW w:type="dxa" w:w="1344"/>
          </w:tcPr>
          <w:p>
            <w:pPr>
              <w:spacing w:after="40" w:line="240" w:lineRule="auto"/>
            </w:pPr>
            <w:r/>
            <w:r>
              <w:rPr>
                <w:rFonts w:ascii="Arial" w:hAnsi="Arial"/>
                <w:sz w:val="20"/>
              </w:rPr>
              <w:t>+6,89%</w:t>
            </w:r>
          </w:p>
        </w:tc>
      </w:tr>
      <w:tr>
        <w:tc>
          <w:tcPr>
            <w:tcW w:type="dxa" w:w="1344"/>
          </w:tcPr>
          <w:p>
            <w:pPr>
              <w:spacing w:after="40" w:line="240" w:lineRule="auto"/>
            </w:pPr>
            <w:r/>
            <w:r>
              <w:rPr>
                <w:rFonts w:ascii="Arial" w:hAnsi="Arial"/>
                <w:sz w:val="20"/>
              </w:rPr>
              <w:t>B</w:t>
            </w:r>
          </w:p>
        </w:tc>
        <w:tc>
          <w:tcPr>
            <w:tcW w:type="dxa" w:w="1344"/>
          </w:tcPr>
          <w:p>
            <w:pPr>
              <w:spacing w:after="40" w:line="240" w:lineRule="auto"/>
            </w:pPr>
            <w:r/>
            <w:r>
              <w:rPr>
                <w:rFonts w:ascii="Arial" w:hAnsi="Arial"/>
                <w:sz w:val="20"/>
              </w:rPr>
              <w:t>41,64</w:t>
            </w:r>
          </w:p>
        </w:tc>
        <w:tc>
          <w:tcPr>
            <w:tcW w:type="dxa" w:w="1344"/>
          </w:tcPr>
          <w:p>
            <w:pPr>
              <w:spacing w:after="40" w:line="240" w:lineRule="auto"/>
            </w:pPr>
            <w:r/>
            <w:r>
              <w:rPr>
                <w:rFonts w:ascii="Arial" w:hAnsi="Arial"/>
                <w:sz w:val="20"/>
              </w:rPr>
              <w:t>47,89</w:t>
            </w:r>
          </w:p>
        </w:tc>
        <w:tc>
          <w:tcPr>
            <w:tcW w:type="dxa" w:w="1344"/>
          </w:tcPr>
          <w:p>
            <w:pPr>
              <w:spacing w:after="40" w:line="240" w:lineRule="auto"/>
            </w:pPr>
            <w:r/>
            <w:r>
              <w:rPr>
                <w:rFonts w:ascii="Arial" w:hAnsi="Arial"/>
                <w:b/>
                <w:sz w:val="20"/>
              </w:rPr>
              <w:t>+15,00%</w:t>
            </w:r>
          </w:p>
        </w:tc>
        <w:tc>
          <w:tcPr>
            <w:tcW w:type="dxa" w:w="1344"/>
          </w:tcPr>
          <w:p>
            <w:pPr>
              <w:spacing w:after="40" w:line="240" w:lineRule="auto"/>
            </w:pPr>
            <w:r/>
            <w:r>
              <w:rPr>
                <w:rFonts w:ascii="Arial" w:hAnsi="Arial"/>
                <w:sz w:val="20"/>
              </w:rPr>
              <w:t>218.802</w:t>
            </w:r>
          </w:p>
        </w:tc>
        <w:tc>
          <w:tcPr>
            <w:tcW w:type="dxa" w:w="1344"/>
          </w:tcPr>
          <w:p>
            <w:pPr>
              <w:spacing w:after="40" w:line="240" w:lineRule="auto"/>
            </w:pPr>
            <w:r/>
            <w:r>
              <w:rPr>
                <w:rFonts w:ascii="Arial" w:hAnsi="Arial"/>
                <w:sz w:val="20"/>
              </w:rPr>
              <w:t>234.463</w:t>
            </w:r>
          </w:p>
        </w:tc>
        <w:tc>
          <w:tcPr>
            <w:tcW w:type="dxa" w:w="1344"/>
          </w:tcPr>
          <w:p>
            <w:pPr>
              <w:spacing w:after="40" w:line="240" w:lineRule="auto"/>
            </w:pPr>
            <w:r/>
            <w:r>
              <w:rPr>
                <w:rFonts w:ascii="Arial" w:hAnsi="Arial"/>
                <w:sz w:val="20"/>
              </w:rPr>
              <w:t>+7,16%</w:t>
            </w:r>
          </w:p>
        </w:tc>
      </w:tr>
    </w:tbl>
    <w:p/>
    <w:p>
      <w:r>
        <w:rPr>
          <w:rFonts w:ascii="Arial" w:hAnsi="Arial"/>
          <w:sz w:val="22"/>
        </w:rPr>
        <w:t xml:space="preserve">Como el stock de seguridad es z · σ_X, un 15% más de incertidumbre obliga a un 15% más de stock de seguridad </w:t>
      </w:r>
      <w:r>
        <w:rPr>
          <w:rFonts w:ascii="Arial" w:hAnsi="Arial"/>
          <w:b/>
          <w:sz w:val="22"/>
        </w:rPr>
        <w:t>en las dos políticas</w:t>
      </w:r>
      <w:r>
        <w:rPr>
          <w:rFonts w:ascii="Arial" w:hAnsi="Arial"/>
          <w:sz w:val="22"/>
        </w:rPr>
        <w:t>, solamente para sostener el mismo nivel de protección que se tenía antes.</w:t>
      </w:r>
    </w:p>
    <w:p>
      <w:r>
        <w:rPr>
          <w:rFonts w:ascii="Arial" w:hAnsi="Arial"/>
          <w:sz w:val="22"/>
        </w:rPr>
        <w:t xml:space="preserve">Lo llamativo es que </w:t>
      </w:r>
      <w:r>
        <w:rPr>
          <w:rFonts w:ascii="Arial" w:hAnsi="Arial"/>
          <w:b/>
          <w:sz w:val="22"/>
        </w:rPr>
        <w:t>ninguna de las dos tiene margen para reaccionar de otra manera</w:t>
      </w:r>
      <w:r>
        <w:rPr>
          <w:rFonts w:ascii="Arial" w:hAnsi="Arial"/>
          <w:sz w:val="22"/>
        </w:rPr>
        <w:t>, y el motivo es que ningún z depende de σ_X. El de la Política B está clavado en 1,645 porque se lo fija el enunciado; el de la Política A sale de P(X ≥ r</w:t>
      </w:r>
      <w:r>
        <w:rPr>
          <w:rFonts w:ascii="Arial" w:hAnsi="Arial"/>
          <w:i/>
          <w:sz w:val="22"/>
        </w:rPr>
        <w:t>) = h·q</w:t>
      </w:r>
      <w:r>
        <w:rPr>
          <w:rFonts w:ascii="Arial" w:hAnsi="Arial"/>
          <w:sz w:val="22"/>
        </w:rPr>
        <w:t>/(c_B·E(D)), expresión donde σ_X directamente no aparece. Y tampoco se mueve la cantidad de pedido, porque el EOQ tampoco depende de σ_X.</w:t>
      </w:r>
    </w:p>
    <w:p>
      <w:r>
        <w:rPr>
          <w:rFonts w:ascii="Arial" w:hAnsi="Arial"/>
          <w:sz w:val="22"/>
        </w:rPr>
        <w:t>O sea que toda la incertidumbre adicional se paga con stock inmovilizado, sin posibilidad de compensarla por otro lado. Esta es la demostración concreta de que la volatilidad del mercado se traduce directa y proporcionalmente en capital parado en el depósito.</w:t>
      </w:r>
    </w:p>
    <w:p>
      <w:r>
        <w:rPr>
          <w:rFonts w:ascii="Arial" w:hAnsi="Arial"/>
          <w:sz w:val="22"/>
        </w:rPr>
        <w:t>En plata, la Política A se encarece un 6,89% (USD 14.573) y la B un 7,16% (USD 15.661). La Política A aguanta un poco mejor, porque parte de un stock de seguridad más alto y entonces el déficit adicional que genera la volatilidad es menor.</w:t>
      </w:r>
    </w:p>
    <w:p>
      <w:pPr>
        <w:keepNext/>
        <w:spacing w:before="400" w:after="120"/>
      </w:pPr>
      <w:r>
        <w:rPr>
          <w:rFonts w:ascii="Arial" w:hAnsi="Arial"/>
          <w:b w:val="0"/>
          <w:sz w:val="40"/>
        </w:rPr>
        <w:t>10. Recomendación Final</w:t>
      </w:r>
    </w:p>
    <w:p>
      <w:r>
        <w:rPr>
          <w:rFonts w:ascii="Arial" w:hAnsi="Arial"/>
          <w:sz w:val="22"/>
        </w:rPr>
        <w:t xml:space="preserve">Una vez obtenida toda la información anterior, </w:t>
      </w:r>
      <w:r>
        <w:rPr>
          <w:rFonts w:ascii="Arial" w:hAnsi="Arial"/>
          <w:b/>
          <w:sz w:val="22"/>
        </w:rPr>
        <w:t>recomendamos a la organización inclinarse por la Política A</w:t>
      </w:r>
      <w:r>
        <w:rPr>
          <w:rFonts w:ascii="Arial" w:hAnsi="Arial"/>
          <w:sz w:val="22"/>
        </w:rPr>
        <w:t>, la de faltantes admitidos, que fija el punto de reabastecimiento por criterio económico en lugar de imponerle un nivel de servicio.</w:t>
      </w:r>
    </w:p>
    <w:p>
      <w:r>
        <w:rPr>
          <w:rFonts w:ascii="Arial" w:hAnsi="Arial"/>
          <w:sz w:val="22"/>
        </w:rPr>
        <w:t>Los motivos son cuatro.</w:t>
      </w:r>
    </w:p>
    <w:p>
      <w:r>
        <w:rPr>
          <w:rFonts w:ascii="Arial" w:hAnsi="Arial"/>
          <w:b/>
          <w:sz w:val="22"/>
        </w:rPr>
        <w:t>Es más barata.</w:t>
      </w:r>
      <w:r>
        <w:rPr>
          <w:rFonts w:ascii="Arial" w:hAnsi="Arial"/>
          <w:sz w:val="22"/>
        </w:rPr>
        <w:t xml:space="preserve"> USD 211.553 al año contra USD 218.802 de la Política B, o sea un ahorro de USD 7.250 anuales sobre el costo controlable de inventario.</w:t>
      </w:r>
    </w:p>
    <w:p>
      <w:r>
        <w:rPr>
          <w:rFonts w:ascii="Arial" w:hAnsi="Arial"/>
          <w:b/>
          <w:sz w:val="22"/>
        </w:rPr>
        <w:t>Da mejor servicio.</w:t>
      </w:r>
      <w:r>
        <w:rPr>
          <w:rFonts w:ascii="Arial" w:hAnsi="Arial"/>
          <w:sz w:val="22"/>
        </w:rPr>
        <w:t xml:space="preserve"> Su probabilidad de quedarse sin stock resulta de 0,0243 frente al 0,05 que impone la Política B, y entrega el 99,68% de la demanda a tiempo. La cantidad de quiebres de stock anuales baja del rango 1,75-2,10 al rango 0,47-1,34. El óptimo económico termina siendo más prudente que la restricción de servicio que le queríamos imponer, que es un resultado que a nosotros mismos nos sorprendió.</w:t>
      </w:r>
    </w:p>
    <w:p>
      <w:r>
        <w:rPr>
          <w:rFonts w:ascii="Arial" w:hAnsi="Arial"/>
          <w:b/>
          <w:sz w:val="22"/>
        </w:rPr>
        <w:t>Es más robusta.</w:t>
      </w:r>
      <w:r>
        <w:rPr>
          <w:rFonts w:ascii="Arial" w:hAnsi="Arial"/>
          <w:sz w:val="22"/>
        </w:rPr>
        <w:t xml:space="preserve"> Frente a un error del 30% en el costo de agotamiento su costo se mueve menos del 2%, y frente a un 15% más de volatilidad se encarece menos que la Política B.</w:t>
      </w:r>
    </w:p>
    <w:p>
      <w:r>
        <w:rPr>
          <w:rFonts w:ascii="Arial" w:hAnsi="Arial"/>
          <w:b/>
          <w:sz w:val="22"/>
        </w:rPr>
        <w:t>Es factible.</w:t>
      </w:r>
      <w:r>
        <w:rPr>
          <w:rFonts w:ascii="Arial" w:hAnsi="Arial"/>
          <w:sz w:val="22"/>
        </w:rPr>
        <w:t xml:space="preserve"> Necesita 18 m³ más de almacén, una diferencia que se amortiza en poco más de un año.</w:t>
      </w:r>
    </w:p>
    <w:p>
      <w:r>
        <w:rPr>
          <w:rFonts w:ascii="Arial" w:hAnsi="Arial"/>
          <w:sz w:val="22"/>
        </w:rPr>
        <w:t>Sobre la implementación, hay un punto que conviene mencionar. El modelo indica entre 35 y 42 reposiciones anuales por insumo, aproximadamente una por semana. Con estos volúmenes, y con un costo de conservación que es alto comparado con lo que cuesta emitir un pedido, el óptimo económico es reponer seguido. En la práctica esto no significa emitir cuarenta órdenes de compra sueltas por año, sino cerrar un acuerdo de entregas programadas con cada proveedor.</w:t>
      </w:r>
    </w:p>
    <w:p>
      <w:r>
        <w:rPr>
          <w:rFonts w:ascii="Arial" w:hAnsi="Arial"/>
          <w:b/>
          <w:sz w:val="22"/>
        </w:rPr>
        <w:t>Para el almacén se propone construir 428 m³</w:t>
      </w:r>
      <w:r>
        <w:rPr>
          <w:rFonts w:ascii="Arial" w:hAnsi="Arial"/>
          <w:sz w:val="22"/>
        </w:rPr>
        <w:t xml:space="preserve">, unos 86 m² con 5 metros de altura útil, con una inversión estimada de </w:t>
      </w:r>
      <w:r>
        <w:rPr>
          <w:rFonts w:ascii="Arial" w:hAnsi="Arial"/>
          <w:b/>
          <w:sz w:val="22"/>
        </w:rPr>
        <w:t>USD 128.464</w:t>
      </w:r>
      <w:r>
        <w:rPr>
          <w:rFonts w:ascii="Arial" w:hAnsi="Arial"/>
          <w:sz w:val="22"/>
        </w:rPr>
        <w:t>.</w:t>
      </w:r>
    </w:p>
    <w:p>
      <w:r>
        <w:rPr>
          <w:rFonts w:ascii="Arial" w:hAnsi="Arial"/>
          <w:sz w:val="22"/>
        </w:rPr>
        <w:t>Elegimos el escenario conservador de utilización (65%) y no el de 75% por dos razones. La primera es que deja margen operativo para el pico de octubre y noviembre, que como vimos casi triplica la demanda mensual promedio. La segunda es que absorbe el crecimiento que el propio pronóstico está anticipando.</w:t>
      </w:r>
    </w:p>
    <w:p>
      <w:r>
        <w:rPr>
          <w:rFonts w:ascii="Arial" w:hAnsi="Arial"/>
          <w:sz w:val="22"/>
        </w:rPr>
        <w:t>La altura útil de 5 metros también es una decisión. Una altura mayor reduciría la superficie necesaria, pero obligaría a equipos de elevación más caros y complicaría la operación del día a día sin un beneficio claro a esta escala. El largo y el ancho pueden ajustarse a comodidad de la empresa siempre que se respete el volumen mínimo.</w:t>
      </w:r>
    </w:p>
    <w:p>
      <w:pPr>
        <w:keepNext/>
        <w:spacing w:before="360" w:after="120"/>
      </w:pPr>
      <w:r>
        <w:rPr>
          <w:rFonts w:ascii="Arial" w:hAnsi="Arial"/>
          <w:b/>
          <w:sz w:val="32"/>
        </w:rPr>
        <w:t>Limitaciones del estudio</w:t>
      </w:r>
    </w:p>
    <w:p>
      <w:r>
        <w:rPr>
          <w:rFonts w:ascii="Arial" w:hAnsi="Arial"/>
          <w:sz w:val="22"/>
        </w:rPr>
        <w:t>Nos parece honesto dejar registradas tres cosas que quedaron fuera del alcance o apoyadas en supuestos.</w:t>
      </w:r>
    </w:p>
    <w:p>
      <w:r>
        <w:rPr>
          <w:rFonts w:ascii="Arial" w:hAnsi="Arial"/>
          <w:b/>
          <w:sz w:val="22"/>
        </w:rPr>
        <w:t>El precio de venta de los vehículos es un supuesto.</w:t>
      </w:r>
      <w:r>
        <w:rPr>
          <w:rFonts w:ascii="Arial" w:hAnsi="Arial"/>
          <w:sz w:val="22"/>
        </w:rPr>
        <w:t xml:space="preserve"> El costo de agotamiento lo derivamos del costo de materiales como piso. El análisis de sensibilidad muestra que la recomendación se sostiene igual, pero tener el precio real permitiría afinar los puntos de reabastecimiento.</w:t>
      </w:r>
    </w:p>
    <w:p>
      <w:r>
        <w:rPr>
          <w:rFonts w:ascii="Arial" w:hAnsi="Arial"/>
          <w:b/>
          <w:sz w:val="22"/>
        </w:rPr>
        <w:t>El pronóstico proyecta crecimiento.</w:t>
      </w:r>
      <w:r>
        <w:rPr>
          <w:rFonts w:ascii="Arial" w:hAnsi="Arial"/>
          <w:sz w:val="22"/>
        </w:rPr>
        <w:t xml:space="preserve"> Prophet anticipa 917 vehículos contra un promedio histórico de 639. Si ese crecimiento no se materializa, los lotes y los stocks de seguridad quedarían sobredimensionados. Convendría revisar el pronóstico cada tres meses.</w:t>
      </w:r>
    </w:p>
    <w:p>
      <w:r>
        <w:rPr>
          <w:rFonts w:ascii="Arial" w:hAnsi="Arial"/>
          <w:b/>
          <w:sz w:val="22"/>
        </w:rPr>
        <w:t>Los plazos de entrega se tomaron como fijos.</w:t>
      </w:r>
      <w:r>
        <w:rPr>
          <w:rFonts w:ascii="Arial" w:hAnsi="Arial"/>
          <w:sz w:val="22"/>
        </w:rPr>
        <w:t xml:space="preserve"> El enunciado los da así. Winston señala en la página 895 que un plazo de entrega variable puede más que duplicar el stock de seguridad necesario. Si en la práctica los proveedores tienen variabilidad de entrega, el modelo debería extenderse con la ecuación (8') del texto, que incorpora la varianza del plazo.</w:t>
      </w:r>
    </w:p>
    <w:p>
      <w:pPr>
        <w:keepNext/>
        <w:spacing w:before="400" w:after="120"/>
      </w:pPr>
      <w:r>
        <w:rPr>
          <w:rFonts w:ascii="Arial" w:hAnsi="Arial"/>
          <w:b w:val="0"/>
          <w:sz w:val="40"/>
        </w:rPr>
        <w:t>Bibliografía</w:t>
      </w:r>
    </w:p>
    <w:p>
      <w:r>
        <w:rPr>
          <w:rFonts w:ascii="Arial" w:hAnsi="Arial"/>
          <w:b/>
          <w:sz w:val="22"/>
        </w:rPr>
        <w:t>Winston, W. L.</w:t>
      </w:r>
      <w:r>
        <w:rPr>
          <w:rFonts w:ascii="Arial" w:hAnsi="Arial"/>
          <w:sz w:val="22"/>
        </w:rPr>
        <w:t xml:space="preserve"> </w:t>
      </w:r>
      <w:r>
        <w:rPr>
          <w:rFonts w:ascii="Arial" w:hAnsi="Arial"/>
          <w:i/>
          <w:sz w:val="22"/>
        </w:rPr>
        <w:t>Investigación de Operaciones: Aplicaciones y Algoritmos</w:t>
      </w:r>
      <w:r>
        <w:rPr>
          <w:rFonts w:ascii="Arial" w:hAnsi="Arial"/>
          <w:sz w:val="22"/>
        </w:rPr>
        <w:t>, 4.ª edición. Thomson.</w:t>
      </w:r>
    </w:p>
    <w:p>
      <w:pPr>
        <w:pStyle w:val="ListBullet"/>
        <w:spacing w:line="276" w:lineRule="auto"/>
      </w:pPr>
      <w:r>
        <w:rPr>
          <w:rFonts w:ascii="Arial" w:hAnsi="Arial"/>
          <w:sz w:val="22"/>
        </w:rPr>
        <w:t>Capítulo 15: modelos determinísticos de inventario.</w:t>
      </w:r>
    </w:p>
    <w:p>
      <w:pPr>
        <w:pStyle w:val="ListBullet"/>
        <w:spacing w:line="276" w:lineRule="auto"/>
      </w:pPr>
      <w:r>
        <w:rPr>
          <w:rFonts w:ascii="Arial" w:hAnsi="Arial"/>
          <w:sz w:val="22"/>
        </w:rPr>
        <w:t>Capítulo 16, sección 16.6: "La EOQ con demanda incierta: modelos (r, q) y</w:t>
      </w:r>
    </w:p>
    <w:p>
      <w:r>
        <w:rPr>
          <w:rFonts w:ascii="Arial" w:hAnsi="Arial"/>
          <w:sz w:val="22"/>
        </w:rPr>
        <w:t>(s, S)", págs. 890-897. Ecuación (8) para la demanda durante el plazo de entrega, ecuación (11) para el costo anual esperado y ecuación (13) para el caso de pedidos pendientes.</w:t>
      </w:r>
    </w:p>
    <w:p>
      <w:pPr>
        <w:pStyle w:val="ListBullet"/>
        <w:spacing w:line="276" w:lineRule="auto"/>
      </w:pPr>
      <w:r>
        <w:rPr>
          <w:rFonts w:ascii="Arial" w:hAnsi="Arial"/>
          <w:sz w:val="22"/>
        </w:rPr>
        <w:t>Capítulo 16, sección 16.7: "La EOQ con demanda incierta: método del nivel de</w:t>
      </w:r>
    </w:p>
    <w:p>
      <w:r>
        <w:rPr>
          <w:rFonts w:ascii="Arial" w:hAnsi="Arial"/>
          <w:sz w:val="22"/>
        </w:rPr>
        <w:t>servicio para determinar el nivel de existencias de seguridad", pág. 898. Definiciones de SLM₁ y SLM₂.</w:t>
      </w:r>
    </w:p>
    <w:p>
      <w:r>
        <w:rPr>
          <w:rFonts w:ascii="Arial" w:hAnsi="Arial"/>
          <w:b/>
          <w:sz w:val="22"/>
        </w:rPr>
        <w:t>Hadley, G. y Whitin, T. M.</w:t>
      </w:r>
      <w:r>
        <w:rPr>
          <w:rFonts w:ascii="Arial" w:hAnsi="Arial"/>
          <w:sz w:val="22"/>
        </w:rPr>
        <w:t xml:space="preserve"> </w:t>
      </w:r>
      <w:r>
        <w:rPr>
          <w:rFonts w:ascii="Arial" w:hAnsi="Arial"/>
          <w:i/>
          <w:sz w:val="22"/>
        </w:rPr>
        <w:t>Analysis of Inventory Systems</w:t>
      </w:r>
      <w:r>
        <w:rPr>
          <w:rFonts w:ascii="Arial" w:hAnsi="Arial"/>
          <w:sz w:val="22"/>
        </w:rPr>
        <w:t>. Prentice-Hall, 1963.</w:t>
      </w:r>
    </w:p>
    <w:p>
      <w:r>
        <w:rPr>
          <w:rFonts w:ascii="Arial" w:hAnsi="Arial"/>
          <w:b/>
          <w:sz w:val="22"/>
        </w:rPr>
        <w:t>Brown, R. G.</w:t>
      </w:r>
      <w:r>
        <w:rPr>
          <w:rFonts w:ascii="Arial" w:hAnsi="Arial"/>
          <w:sz w:val="22"/>
        </w:rPr>
        <w:t xml:space="preserve"> </w:t>
      </w:r>
      <w:r>
        <w:rPr>
          <w:rFonts w:ascii="Arial" w:hAnsi="Arial"/>
          <w:i/>
          <w:sz w:val="22"/>
        </w:rPr>
        <w:t>Decision Rules for Inventory Management</w:t>
      </w:r>
      <w:r>
        <w:rPr>
          <w:rFonts w:ascii="Arial" w:hAnsi="Arial"/>
          <w:sz w:val="22"/>
        </w:rPr>
        <w:t>, 1967. Citado por Winston en la pág. 893 para la validez de aproximar la cantidad óptima de pedido por el EOQ.</w:t>
      </w:r>
    </w:p>
    <w:p>
      <w:r>
        <w:rPr>
          <w:rFonts w:ascii="Arial" w:hAnsi="Arial"/>
          <w:b/>
          <w:sz w:val="22"/>
        </w:rPr>
        <w:t>Silver, E. A., Pyke, D. F. y Peterson, R.</w:t>
      </w:r>
      <w:r>
        <w:rPr>
          <w:rFonts w:ascii="Arial" w:hAnsi="Arial"/>
          <w:sz w:val="22"/>
        </w:rPr>
        <w:t xml:space="preserve"> </w:t>
      </w:r>
      <w:r>
        <w:rPr>
          <w:rFonts w:ascii="Arial" w:hAnsi="Arial"/>
          <w:i/>
          <w:sz w:val="22"/>
        </w:rPr>
        <w:t>Inventory Management and Production Planning and Scheduling</w:t>
      </w:r>
      <w:r>
        <w:rPr>
          <w:rFonts w:ascii="Arial" w:hAnsi="Arial"/>
          <w:sz w:val="22"/>
        </w:rPr>
        <w:t>, 3.ª edición. Wiley. Capítulo 7, función de pérdida normal.</w:t>
      </w:r>
    </w:p>
    <w:p>
      <w:r>
        <w:rPr>
          <w:rFonts w:ascii="Arial" w:hAnsi="Arial"/>
          <w:b/>
          <w:sz w:val="22"/>
        </w:rPr>
        <w:t>Taylor, S. J. y Letham, B.</w:t>
      </w:r>
      <w:r>
        <w:rPr>
          <w:rFonts w:ascii="Arial" w:hAnsi="Arial"/>
          <w:sz w:val="22"/>
        </w:rPr>
        <w:t xml:space="preserve"> </w:t>
      </w:r>
      <w:r>
        <w:rPr>
          <w:rFonts w:ascii="Arial" w:hAnsi="Arial"/>
          <w:i/>
          <w:sz w:val="22"/>
        </w:rPr>
        <w:t>Forecasting at Scale</w:t>
      </w:r>
      <w:r>
        <w:rPr>
          <w:rFonts w:ascii="Arial" w:hAnsi="Arial"/>
          <w:sz w:val="22"/>
        </w:rPr>
        <w:t xml:space="preserve"> (paper original de Prophet). </w:t>
      </w:r>
      <w:r>
        <w:rPr>
          <w:rFonts w:ascii="Arial" w:hAnsi="Arial"/>
          <w:color w:val="1155CC"/>
          <w:sz w:val="22"/>
          <w:u w:val="single"/>
        </w:rPr>
        <w:t>https://peerj.com/preprints/3190/</w:t>
      </w:r>
    </w:p>
    <w:p>
      <w:r>
        <w:rPr>
          <w:rFonts w:ascii="Arial" w:hAnsi="Arial"/>
          <w:b/>
          <w:sz w:val="22"/>
        </w:rPr>
        <w:t>Vilorio Luque, J. O.</w:t>
      </w:r>
      <w:r>
        <w:rPr>
          <w:rFonts w:ascii="Arial" w:hAnsi="Arial"/>
          <w:sz w:val="22"/>
        </w:rPr>
        <w:t xml:space="preserve"> </w:t>
      </w:r>
      <w:r>
        <w:rPr>
          <w:rFonts w:ascii="Arial" w:hAnsi="Arial"/>
          <w:i/>
          <w:sz w:val="22"/>
        </w:rPr>
        <w:t>Predicciones de Ventas con Series Temporales</w:t>
      </w:r>
      <w:r>
        <w:rPr>
          <w:rFonts w:ascii="Arial" w:hAnsi="Arial"/>
          <w:sz w:val="22"/>
        </w:rPr>
        <w:t xml:space="preserve">, pág. 27. </w:t>
      </w:r>
      <w:r>
        <w:rPr>
          <w:rFonts w:ascii="Arial" w:hAnsi="Arial"/>
          <w:color w:val="1155CC"/>
          <w:sz w:val="22"/>
          <w:u w:val="single"/>
        </w:rPr>
        <w:t>https://www.uhu.es/mecofin/docencia/tfm/20222023/</w:t>
      </w:r>
    </w:p>
    <w:p>
      <w:r>
        <w:rPr>
          <w:rFonts w:ascii="Arial" w:hAnsi="Arial"/>
          <w:b/>
          <w:sz w:val="22"/>
        </w:rPr>
        <w:t>Reyes, C. e Inca, C.</w:t>
      </w:r>
      <w:r>
        <w:rPr>
          <w:rFonts w:ascii="Arial" w:hAnsi="Arial"/>
          <w:sz w:val="22"/>
        </w:rPr>
        <w:t xml:space="preserve"> </w:t>
      </w:r>
      <w:r>
        <w:rPr>
          <w:rFonts w:ascii="Arial" w:hAnsi="Arial"/>
          <w:i/>
          <w:sz w:val="22"/>
        </w:rPr>
        <w:t>Limitaciones del Modelo LSTM en la Predicción de Demanda Eléctrica con Datos Simulados de Bajo Volumen</w:t>
      </w:r>
      <w:r>
        <w:rPr>
          <w:rFonts w:ascii="Arial" w:hAnsi="Arial"/>
          <w:sz w:val="22"/>
        </w:rPr>
        <w:t xml:space="preserve">. </w:t>
      </w:r>
      <w:r>
        <w:rPr>
          <w:rFonts w:ascii="Arial" w:hAnsi="Arial"/>
          <w:color w:val="1155CC"/>
          <w:sz w:val="22"/>
          <w:u w:val="single"/>
        </w:rPr>
        <w:t>https://magazineasce.com/index.php/1/article/view/131</w:t>
      </w:r>
    </w:p>
    <w:p>
      <w:r>
        <w:rPr>
          <w:rFonts w:ascii="Arial" w:hAnsi="Arial"/>
          <w:b/>
          <w:sz w:val="22"/>
        </w:rPr>
        <w:t>Miranda Chinlli, C. M.</w:t>
      </w:r>
      <w:r>
        <w:rPr>
          <w:rFonts w:ascii="Arial" w:hAnsi="Arial"/>
          <w:sz w:val="22"/>
        </w:rPr>
        <w:t xml:space="preserve"> </w:t>
      </w:r>
      <w:r>
        <w:rPr>
          <w:rFonts w:ascii="Arial" w:hAnsi="Arial"/>
          <w:i/>
          <w:sz w:val="22"/>
        </w:rPr>
        <w:t>Modelización de Series Temporales: modelos clásicos y SARIMA</w:t>
      </w:r>
      <w:r>
        <w:rPr>
          <w:rFonts w:ascii="Arial" w:hAnsi="Arial"/>
          <w:sz w:val="22"/>
        </w:rPr>
        <w:t xml:space="preserve"> (bajo número de observaciones en SARIMA). </w:t>
      </w:r>
      <w:r>
        <w:rPr>
          <w:rFonts w:ascii="Arial" w:hAnsi="Arial"/>
          <w:color w:val="1155CC"/>
          <w:sz w:val="22"/>
          <w:u w:val="single"/>
        </w:rPr>
        <w:t>https://masteres.ugr.es/estadistica-aplicada/sites/master/moea/public/inline-files/TFM_MIRANDA_CHINLLI_CARLOS.pdf</w:t>
      </w:r>
    </w:p>
    <w:p>
      <w:r>
        <w:rPr>
          <w:rFonts w:ascii="Arial" w:hAnsi="Arial"/>
          <w:b/>
          <w:sz w:val="22"/>
        </w:rPr>
        <w:t>Superintendencia de Riesgos del Trabajo.</w:t>
      </w:r>
      <w:r>
        <w:rPr>
          <w:rFonts w:ascii="Arial" w:hAnsi="Arial"/>
          <w:sz w:val="22"/>
        </w:rPr>
        <w:t xml:space="preserve"> </w:t>
      </w:r>
      <w:r>
        <w:rPr>
          <w:rFonts w:ascii="Arial" w:hAnsi="Arial"/>
          <w:i/>
          <w:sz w:val="22"/>
        </w:rPr>
        <w:t>Manual de Buenas Prácticas — Industria Automotriz</w:t>
      </w:r>
      <w:r>
        <w:rPr>
          <w:rFonts w:ascii="Arial" w:hAnsi="Arial"/>
          <w:sz w:val="22"/>
        </w:rPr>
        <w:t xml:space="preserve">, 2025/2026. </w:t>
      </w:r>
      <w:r>
        <w:rPr>
          <w:rFonts w:ascii="Arial" w:hAnsi="Arial"/>
          <w:color w:val="1155CC"/>
          <w:sz w:val="22"/>
          <w:u w:val="single"/>
        </w:rPr>
        <w:t>https://www.argentina.gob.ar/sites/default/files/mbp_industria-automotriz_0_corregido.pdf</w:t>
      </w:r>
    </w:p>
    <w:p>
      <w:r>
        <w:rPr>
          <w:rFonts w:ascii="Arial" w:hAnsi="Arial"/>
          <w:b/>
          <w:sz w:val="22"/>
        </w:rPr>
        <w:t>Jenkins, A.</w:t>
      </w:r>
      <w:r>
        <w:rPr>
          <w:rFonts w:ascii="Arial" w:hAnsi="Arial"/>
          <w:sz w:val="22"/>
        </w:rPr>
        <w:t xml:space="preserve"> </w:t>
      </w:r>
      <w:r>
        <w:rPr>
          <w:rFonts w:ascii="Arial" w:hAnsi="Arial"/>
          <w:i/>
          <w:sz w:val="22"/>
        </w:rPr>
        <w:t>Warehouse Space Utilization: How to Calculate and Optimize</w:t>
      </w:r>
      <w:r>
        <w:rPr>
          <w:rFonts w:ascii="Arial" w:hAnsi="Arial"/>
          <w:sz w:val="22"/>
        </w:rPr>
        <w:t xml:space="preserve">. NetSuite. </w:t>
      </w:r>
      <w:r>
        <w:rPr>
          <w:rFonts w:ascii="Arial" w:hAnsi="Arial"/>
          <w:color w:val="1155CC"/>
          <w:sz w:val="22"/>
          <w:u w:val="single"/>
        </w:rPr>
        <w:t>https://www.netsuite.com/portal/resource/articles/inventory-management/space-utilization-warehouse.shtml</w:t>
      </w:r>
    </w:p>
    <w:p>
      <w:r>
        <w:rPr>
          <w:rFonts w:ascii="Arial" w:hAnsi="Arial"/>
          <w:b/>
          <w:sz w:val="22"/>
        </w:rPr>
        <w:t>Repositorio del trabajo:</w:t>
      </w:r>
      <w:r>
        <w:rPr>
          <w:rFonts w:ascii="Arial" w:hAnsi="Arial"/>
          <w:sz w:val="22"/>
        </w:rPr>
        <w:t xml:space="preserve"> </w:t>
      </w:r>
      <w:r>
        <w:rPr>
          <w:rFonts w:ascii="Arial" w:hAnsi="Arial"/>
          <w:color w:val="1155CC"/>
          <w:sz w:val="22"/>
          <w:u w:val="single"/>
        </w:rPr>
        <w:t>https://github.com/JuanBrun/RepoProyectoIO</w:t>
      </w:r>
    </w:p>
    <w:p>
      <w:pPr>
        <w:keepNext/>
        <w:spacing w:before="400" w:after="120"/>
      </w:pPr>
      <w:r>
        <w:rPr>
          <w:rFonts w:ascii="Arial" w:hAnsi="Arial"/>
          <w:b w:val="0"/>
          <w:sz w:val="40"/>
        </w:rPr>
        <w:t>Anexo — Reproducibilidad</w:t>
      </w:r>
    </w:p>
    <w:p>
      <w:r>
        <w:rPr>
          <w:rFonts w:ascii="Arial" w:hAnsi="Arial"/>
          <w:sz w:val="22"/>
        </w:rPr>
        <w:t>Todos los cálculos de este informe se generan con el código del repositorio mediante un único comando:</w:t>
      </w:r>
    </w:p>
    <w:p>
      <w:pPr>
        <w:spacing w:line="240" w:lineRule="auto"/>
        <w:ind w:left="567"/>
      </w:pPr>
      <w:r>
        <w:rPr>
          <w:rFonts w:ascii="Consolas" w:hAnsi="Consolas"/>
          <w:sz w:val="19"/>
        </w:rPr>
        <w:t>make todo</w:t>
      </w:r>
    </w:p>
    <w:p>
      <w:r>
        <w:rPr>
          <w:rFonts w:ascii="Arial" w:hAnsi="Arial"/>
          <w:sz w:val="22"/>
        </w:rPr>
        <w:t>Las etapas también pueden ejecutarse por separado (</w:t>
      </w:r>
      <w:r>
        <w:rPr>
          <w:rFonts w:ascii="Consolas" w:hAnsi="Consolas"/>
          <w:sz w:val="22"/>
        </w:rPr>
        <w:t>make pronostico</w:t>
      </w:r>
      <w:r>
        <w:rPr>
          <w:rFonts w:ascii="Arial" w:hAnsi="Arial"/>
          <w:sz w:val="22"/>
        </w:rPr>
        <w:t xml:space="preserve">, </w:t>
      </w:r>
      <w:r>
        <w:rPr>
          <w:rFonts w:ascii="Consolas" w:hAnsi="Consolas"/>
          <w:sz w:val="22"/>
        </w:rPr>
        <w:t>make inventario</w:t>
      </w:r>
      <w:r>
        <w:rPr>
          <w:rFonts w:ascii="Arial" w:hAnsi="Arial"/>
          <w:sz w:val="22"/>
        </w:rPr>
        <w:t xml:space="preserve">, </w:t>
      </w:r>
      <w:r>
        <w:rPr>
          <w:rFonts w:ascii="Consolas" w:hAnsi="Consolas"/>
          <w:sz w:val="22"/>
        </w:rPr>
        <w:t>make almacen</w:t>
      </w:r>
      <w:r>
        <w:rPr>
          <w:rFonts w:ascii="Arial" w:hAnsi="Arial"/>
          <w:sz w:val="22"/>
        </w:rPr>
        <w:t xml:space="preserve">, </w:t>
      </w:r>
      <w:r>
        <w:rPr>
          <w:rFonts w:ascii="Consolas" w:hAnsi="Consolas"/>
          <w:sz w:val="22"/>
        </w:rPr>
        <w:t>make sensibilidad</w:t>
      </w:r>
      <w:r>
        <w:rPr>
          <w:rFonts w:ascii="Arial" w:hAnsi="Arial"/>
          <w:sz w:val="22"/>
        </w:rPr>
        <w:t xml:space="preserve">). Los resultados quedan en la carpeta </w:t>
      </w:r>
      <w:r>
        <w:rPr>
          <w:rFonts w:ascii="Consolas" w:hAnsi="Consolas"/>
          <w:sz w:val="22"/>
        </w:rPr>
        <w:t>outputs/</w:t>
      </w:r>
      <w:r>
        <w:rPr>
          <w:rFonts w:ascii="Arial" w:hAnsi="Arial"/>
          <w:sz w:val="22"/>
        </w:rPr>
        <w:t xml:space="preserve"> como archivos CSV y gráficos.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703"/>
        <w:gridCol w:w="4703"/>
      </w:tblGrid>
      <w:tr>
        <w:tc>
          <w:tcPr>
            <w:tcW w:type="dxa" w:w="4703"/>
          </w:tcPr>
          <w:p>
            <w:pPr>
              <w:spacing w:after="40" w:line="240" w:lineRule="auto"/>
            </w:pPr>
            <w:r/>
            <w:r>
              <w:rPr>
                <w:rFonts w:ascii="Arial" w:hAnsi="Arial"/>
                <w:b/>
                <w:sz w:val="20"/>
              </w:rPr>
              <w:t>Sección del informe</w:t>
            </w:r>
          </w:p>
        </w:tc>
        <w:tc>
          <w:tcPr>
            <w:tcW w:type="dxa" w:w="4703"/>
          </w:tcPr>
          <w:p>
            <w:pPr>
              <w:spacing w:after="40" w:line="240" w:lineRule="auto"/>
            </w:pPr>
            <w:r/>
            <w:r>
              <w:rPr>
                <w:rFonts w:ascii="Arial" w:hAnsi="Arial"/>
                <w:b/>
                <w:sz w:val="20"/>
              </w:rPr>
              <w:t>Dónde están los resultados</w:t>
            </w:r>
          </w:p>
        </w:tc>
      </w:tr>
      <w:tr>
        <w:tc>
          <w:tcPr>
            <w:tcW w:type="dxa" w:w="4703"/>
          </w:tcPr>
          <w:p>
            <w:pPr>
              <w:spacing w:after="40" w:line="240" w:lineRule="auto"/>
            </w:pPr>
            <w:r/>
            <w:r>
              <w:rPr>
                <w:rFonts w:ascii="Arial" w:hAnsi="Arial"/>
                <w:sz w:val="20"/>
              </w:rPr>
              <w:t>1.1 Limpieza de datos</w:t>
            </w:r>
          </w:p>
        </w:tc>
        <w:tc>
          <w:tcPr>
            <w:tcW w:type="dxa" w:w="4703"/>
          </w:tcPr>
          <w:p>
            <w:pPr>
              <w:spacing w:after="40" w:line="240" w:lineRule="auto"/>
            </w:pPr>
            <w:r/>
            <w:r>
              <w:rPr>
                <w:rFonts w:ascii="Consolas" w:hAnsi="Consolas"/>
                <w:sz w:val="20"/>
              </w:rPr>
              <w:t>data/processed/</w:t>
            </w:r>
          </w:p>
        </w:tc>
      </w:tr>
      <w:tr>
        <w:tc>
          <w:tcPr>
            <w:tcW w:type="dxa" w:w="4703"/>
          </w:tcPr>
          <w:p>
            <w:pPr>
              <w:spacing w:after="40" w:line="240" w:lineRule="auto"/>
            </w:pPr>
            <w:r/>
            <w:r>
              <w:rPr>
                <w:rFonts w:ascii="Arial" w:hAnsi="Arial"/>
                <w:sz w:val="20"/>
              </w:rPr>
              <w:t>1.2 y 1.3 ABC y XYZ</w:t>
            </w:r>
          </w:p>
        </w:tc>
        <w:tc>
          <w:tcPr>
            <w:tcW w:type="dxa" w:w="4703"/>
          </w:tcPr>
          <w:p>
            <w:pPr>
              <w:spacing w:after="40" w:line="240" w:lineRule="auto"/>
            </w:pPr>
            <w:r/>
            <w:r>
              <w:rPr>
                <w:rFonts w:ascii="Consolas" w:hAnsi="Consolas"/>
                <w:sz w:val="20"/>
              </w:rPr>
              <w:t>outputs/clasificacion/</w:t>
            </w:r>
          </w:p>
        </w:tc>
      </w:tr>
      <w:tr>
        <w:tc>
          <w:tcPr>
            <w:tcW w:type="dxa" w:w="4703"/>
          </w:tcPr>
          <w:p>
            <w:pPr>
              <w:spacing w:after="40" w:line="240" w:lineRule="auto"/>
            </w:pPr>
            <w:r/>
            <w:r>
              <w:rPr>
                <w:rFonts w:ascii="Arial" w:hAnsi="Arial"/>
                <w:sz w:val="20"/>
              </w:rPr>
              <w:t>2 Pronóstico</w:t>
            </w:r>
          </w:p>
        </w:tc>
        <w:tc>
          <w:tcPr>
            <w:tcW w:type="dxa" w:w="4703"/>
          </w:tcPr>
          <w:p>
            <w:pPr>
              <w:spacing w:after="40" w:line="240" w:lineRule="auto"/>
            </w:pPr>
            <w:r/>
            <w:r>
              <w:rPr>
                <w:rFonts w:ascii="Consolas" w:hAnsi="Consolas"/>
                <w:sz w:val="20"/>
              </w:rPr>
              <w:t>outputs/pronostico/</w:t>
            </w:r>
          </w:p>
        </w:tc>
      </w:tr>
      <w:tr>
        <w:tc>
          <w:tcPr>
            <w:tcW w:type="dxa" w:w="4703"/>
          </w:tcPr>
          <w:p>
            <w:pPr>
              <w:spacing w:after="40" w:line="240" w:lineRule="auto"/>
            </w:pPr>
            <w:r/>
            <w:r>
              <w:rPr>
                <w:rFonts w:ascii="Arial" w:hAnsi="Arial"/>
                <w:sz w:val="20"/>
              </w:rPr>
              <w:t>3 a 7 Modelos de inventario</w:t>
            </w:r>
          </w:p>
        </w:tc>
        <w:tc>
          <w:tcPr>
            <w:tcW w:type="dxa" w:w="4703"/>
          </w:tcPr>
          <w:p>
            <w:pPr>
              <w:spacing w:after="40" w:line="240" w:lineRule="auto"/>
            </w:pPr>
            <w:r/>
            <w:r>
              <w:rPr>
                <w:rFonts w:ascii="Consolas" w:hAnsi="Consolas"/>
                <w:sz w:val="20"/>
              </w:rPr>
              <w:t>outputs/inventario/</w:t>
            </w:r>
          </w:p>
        </w:tc>
      </w:tr>
      <w:tr>
        <w:tc>
          <w:tcPr>
            <w:tcW w:type="dxa" w:w="4703"/>
          </w:tcPr>
          <w:p>
            <w:pPr>
              <w:spacing w:after="40" w:line="240" w:lineRule="auto"/>
            </w:pPr>
            <w:r/>
            <w:r>
              <w:rPr>
                <w:rFonts w:ascii="Arial" w:hAnsi="Arial"/>
                <w:sz w:val="20"/>
              </w:rPr>
              <w:t>8 Almacén</w:t>
            </w:r>
          </w:p>
        </w:tc>
        <w:tc>
          <w:tcPr>
            <w:tcW w:type="dxa" w:w="4703"/>
          </w:tcPr>
          <w:p>
            <w:pPr>
              <w:spacing w:after="40" w:line="240" w:lineRule="auto"/>
            </w:pPr>
            <w:r/>
            <w:r>
              <w:rPr>
                <w:rFonts w:ascii="Consolas" w:hAnsi="Consolas"/>
                <w:sz w:val="20"/>
              </w:rPr>
              <w:t>outputs/almacen/</w:t>
            </w:r>
          </w:p>
        </w:tc>
      </w:tr>
      <w:tr>
        <w:tc>
          <w:tcPr>
            <w:tcW w:type="dxa" w:w="4703"/>
          </w:tcPr>
          <w:p>
            <w:pPr>
              <w:spacing w:after="40" w:line="240" w:lineRule="auto"/>
            </w:pPr>
            <w:r/>
            <w:r>
              <w:rPr>
                <w:rFonts w:ascii="Arial" w:hAnsi="Arial"/>
                <w:sz w:val="20"/>
              </w:rPr>
              <w:t>9 Sensibilidad</w:t>
            </w:r>
          </w:p>
        </w:tc>
        <w:tc>
          <w:tcPr>
            <w:tcW w:type="dxa" w:w="4703"/>
          </w:tcPr>
          <w:p>
            <w:pPr>
              <w:spacing w:after="40" w:line="240" w:lineRule="auto"/>
            </w:pPr>
            <w:r/>
            <w:r>
              <w:rPr>
                <w:rFonts w:ascii="Consolas" w:hAnsi="Consolas"/>
                <w:sz w:val="20"/>
              </w:rPr>
              <w:t>outputs/sensibilidad/</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left"/>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