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ms-office.chartstyle+xml" PartName="/word/charts/style1.xml"/>
  <Override ContentType="application/vnd.ms-office.chartstyle+xml" PartName="/word/charts/style3.xml"/>
  <Override ContentType="application/vnd.ms-office.chartstyle+xml" PartName="/word/charts/style2.xml"/>
  <Override ContentType="application/vnd.openxmlformats-package.core-properties+xml" PartName="/docProps/core.xml"/>
  <Override ContentType="application/vnd.ms-office.chartcolorstyle+xml" PartName="/word/charts/colors3.xml"/>
  <Override ContentType="application/vnd.ms-office.chartcolorstyle+xml" PartName="/word/charts/colors2.xml"/>
  <Override ContentType="application/vnd.ms-office.chartcolorstyle+xml" PartName="/word/charts/colors1.xml"/>
  <Override ContentType="application/vnd.openxmlformats-officedocument.wordprocessingml.document.main+xml" PartName="/word/document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3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Goal: Find a relationship between DATA and PRICE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Subjective Judgement of factors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Regression Model to prove correlations between data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Focus on Technology Sector: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Companies showing strong correlation (R &gt; 0.7):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MSFT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NVDA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CSCO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ORCL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AMZN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FB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NFLX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Macro factors to see the big picture: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Price of crude oil: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plotting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/ Opening Price of Crude Oil against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Opening Price of S&amp;P 500 on the period 1/3 to 2/25, I realized that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Price of crude oil is inversely related to the price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S&amp;P 500. With R = 0.7841, a relatively strong correlation.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572000" cy="2743200"/>
            <wp:docPr id="5" name=""/>
            <a:graphic>
              <a:graphicData uri="http://schemas.openxmlformats.org/drawingml/2006/chart">
                <c:chart r:id="rId7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Interest Rates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11"/>
          <w:sz w:val="24"/>
          <w:szCs w:val="24"/>
          <w:highlight w:val="white"/>
          <w:u w:val="none"/>
          <w:vertAlign w:val="baseline"/>
          <w:rtl w:val="0"/>
        </w:rPr>
        <w:t xml:space="preserve">Higher interest rates tend to negatively affect earnings and stock prices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Inflation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Value stocks perform better in high inflation periods and growth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single"/>
          <w:vertAlign w:val="baseline"/>
          <w:rtl w:val="0"/>
        </w:rPr>
        <w:t xml:space="preserve"> stocks perform better when inflation is low.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 Stocks tend to be more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volatile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 when inflation is elevated.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Unemployment rate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A rise in unemployment typically signals a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decline in interest rates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, which is good news for stocks, as well as a decline in future corporate earnings and dividends, which is bad news for stocks theoretically. In the graph below, we can see that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single"/>
          <w:vertAlign w:val="baseline"/>
          <w:rtl w:val="0"/>
        </w:rPr>
        <w:t xml:space="preserve"> S&amp;P 500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202124"/>
          <w:sz w:val="24"/>
          <w:szCs w:val="24"/>
          <w:highlight w:val="white"/>
          <w:u w:val="single"/>
          <w:vertAlign w:val="baseline"/>
          <w:rtl w:val="0"/>
        </w:rPr>
        <w:t xml:space="preserve">is most likely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single"/>
          <w:vertAlign w:val="baseline"/>
          <w:rtl w:val="0"/>
        </w:rPr>
        <w:t xml:space="preserve">inversely related 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u w:val="singl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124"/>
          <w:sz w:val="24"/>
          <w:szCs w:val="24"/>
          <w:highlight w:val="white"/>
          <w:u w:val="single"/>
          <w:vertAlign w:val="baseline"/>
          <w:rtl w:val="0"/>
        </w:rPr>
        <w:t xml:space="preserve">unemployment rate.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033713" cy="1732241"/>
            <wp:effectExtent b="0" l="0" r="0" t="0"/>
            <wp:docPr descr="The unemployment-stock market correlation in one chart." id="8" name="image1.png"/>
            <a:graphic>
              <a:graphicData uri="http://schemas.openxmlformats.org/drawingml/2006/picture">
                <pic:pic>
                  <pic:nvPicPr>
                    <pic:cNvPr descr="The unemployment-stock market correlation in one chart.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3713" cy="1732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Financial Factors to see correlation: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P/E Ratio: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yesterday’s P/E ratio to predict today’s stock price.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However, need to take more data from other companies to further reinforce such correlation.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One 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nteresting finding is that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P/E ratio and stock price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yellow"/>
          <w:rtl w:val="0"/>
        </w:rPr>
        <w:t xml:space="preserve">have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a higher correlation when the company’s stock price has a higher correlation with S&amp;P 500.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NVDA: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572000" cy="2743200"/>
            <wp:docPr id="6" name=""/>
            <a:graphic>
              <a:graphicData uri="http://schemas.openxmlformats.org/drawingml/2006/chart">
                <c:chart r:id="rId9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GOOG: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4572000" cy="2743200"/>
            <wp:docPr id="7" name=""/>
            <a:graphic>
              <a:graphicData uri="http://schemas.openxmlformats.org/drawingml/2006/chart">
                <c:chart r:id="rId10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952A1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C148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chart" Target="charts/chart3.xml"/><Relationship Id="rId9" Type="http://schemas.openxmlformats.org/officeDocument/2006/relationships/chart" Target="charts/chart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chart" Target="charts/chart1.xml"/><Relationship Id="rId8" Type="http://schemas.openxmlformats.org/officeDocument/2006/relationships/image" Target="media/image1.png"/></Relationships>
</file>

<file path=word/charts/_rels/chart1.xml.rels><?xml version="1.0" encoding="UTF-8" standalone="yes"?>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C:\Users\erlcyao\Desktop\Factors.xlsx" TargetMode="External"/></Relationships>
</file>

<file path=word/charts/_rels/chart2.xml.rels><?xml version="1.0" encoding="UTF-8" standalone="yes"?>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C:\Users\erlcyao\Desktop\Factors.xlsx" TargetMode="External"/></Relationships>
</file>

<file path=word/charts/_rels/chart3.xml.rels><?xml version="1.0" encoding="UTF-8" standalone="yes"?>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C:\Users\erlcyao\Desktop\Factor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1/Price of Crude Oil vs. S&amp;P 500 (1/3 - 2/25)</a:t>
            </a:r>
          </a:p>
        </c:rich>
      </c:tx>
      <c:layout>
        <c:manualLayout>
          <c:xMode val="edge"/>
          <c:yMode val="edge"/>
          <c:x val="2.8604111986001751E-2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'Crude Oil vs. S&amp;P 500'!$D$1</c:f>
              <c:strCache>
                <c:ptCount val="1"/>
                <c:pt idx="0">
                  <c:v>S&amp;P 500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3.6605861767279091E-2"/>
                  <c:y val="-0.1971547827354913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'Crude Oil vs. S&amp;P 500'!$C$2:$C$39</c:f>
              <c:numCache>
                <c:formatCode>0.0000</c:formatCode>
                <c:ptCount val="38"/>
                <c:pt idx="0">
                  <c:v>1.321178491214163E-2</c:v>
                </c:pt>
                <c:pt idx="1">
                  <c:v>1.3154433043935806E-2</c:v>
                </c:pt>
                <c:pt idx="2">
                  <c:v>1.2956724540036277E-2</c:v>
                </c:pt>
                <c:pt idx="3">
                  <c:v>1.2946659761781462E-2</c:v>
                </c:pt>
                <c:pt idx="4">
                  <c:v>1.2559658377292136E-2</c:v>
                </c:pt>
                <c:pt idx="5">
                  <c:v>1.2677484787018257E-2</c:v>
                </c:pt>
                <c:pt idx="6">
                  <c:v>1.2751849018107626E-2</c:v>
                </c:pt>
                <c:pt idx="7">
                  <c:v>1.2288031457360531E-2</c:v>
                </c:pt>
                <c:pt idx="8">
                  <c:v>1.207437816952427E-2</c:v>
                </c:pt>
                <c:pt idx="9">
                  <c:v>1.223540927444023E-2</c:v>
                </c:pt>
                <c:pt idx="10">
                  <c:v>1.1859582542694497E-2</c:v>
                </c:pt>
                <c:pt idx="11">
                  <c:v>1.1546010853250202E-2</c:v>
                </c:pt>
                <c:pt idx="12">
                  <c:v>1.1596892032935173E-2</c:v>
                </c:pt>
                <c:pt idx="13">
                  <c:v>1.1824524062906469E-2</c:v>
                </c:pt>
                <c:pt idx="14">
                  <c:v>1.177717583323519E-2</c:v>
                </c:pt>
                <c:pt idx="15">
                  <c:v>1.1883541295306001E-2</c:v>
                </c:pt>
                <c:pt idx="16">
                  <c:v>1.172882946281961E-2</c:v>
                </c:pt>
                <c:pt idx="17">
                  <c:v>1.1474469305794606E-2</c:v>
                </c:pt>
                <c:pt idx="18">
                  <c:v>1.1428571428571429E-2</c:v>
                </c:pt>
                <c:pt idx="19">
                  <c:v>1.1435105774728416E-2</c:v>
                </c:pt>
                <c:pt idx="20">
                  <c:v>1.1344299489506523E-2</c:v>
                </c:pt>
                <c:pt idx="21">
                  <c:v>1.1318619128466328E-2</c:v>
                </c:pt>
                <c:pt idx="22">
                  <c:v>1.1366219595362582E-2</c:v>
                </c:pt>
                <c:pt idx="23">
                  <c:v>1.1087703736556159E-2</c:v>
                </c:pt>
                <c:pt idx="24">
                  <c:v>1.0890873448050535E-2</c:v>
                </c:pt>
                <c:pt idx="25">
                  <c:v>1.0912265386294195E-2</c:v>
                </c:pt>
                <c:pt idx="26">
                  <c:v>1.1128421989761852E-2</c:v>
                </c:pt>
                <c:pt idx="27">
                  <c:v>1.1109876680368847E-2</c:v>
                </c:pt>
                <c:pt idx="28">
                  <c:v>1.1111111111111112E-2</c:v>
                </c:pt>
                <c:pt idx="29">
                  <c:v>1.0648493238206795E-2</c:v>
                </c:pt>
                <c:pt idx="30">
                  <c:v>1.0545186122535063E-2</c:v>
                </c:pt>
                <c:pt idx="31">
                  <c:v>1.0844810758052272E-2</c:v>
                </c:pt>
                <c:pt idx="32">
                  <c:v>1.1001100110011E-2</c:v>
                </c:pt>
                <c:pt idx="33">
                  <c:v>1.0913456291607553E-2</c:v>
                </c:pt>
                <c:pt idx="34">
                  <c:v>1.0899182561307902E-2</c:v>
                </c:pt>
                <c:pt idx="35">
                  <c:v>1.0900370612600829E-2</c:v>
                </c:pt>
                <c:pt idx="36">
                  <c:v>1.0808473843493299E-2</c:v>
                </c:pt>
                <c:pt idx="37">
                  <c:v>1.0715816545220747E-2</c:v>
                </c:pt>
              </c:numCache>
            </c:numRef>
          </c:xVal>
          <c:yVal>
            <c:numRef>
              <c:f>'Crude Oil vs. S&amp;P 500'!$D$2:$D$39</c:f>
              <c:numCache>
                <c:formatCode>#,##0.00</c:formatCode>
                <c:ptCount val="38"/>
                <c:pt idx="0">
                  <c:v>4778.1400000000003</c:v>
                </c:pt>
                <c:pt idx="1">
                  <c:v>4804.51</c:v>
                </c:pt>
                <c:pt idx="2">
                  <c:v>4787.99</c:v>
                </c:pt>
                <c:pt idx="3">
                  <c:v>4693.3900000000003</c:v>
                </c:pt>
                <c:pt idx="4">
                  <c:v>4697.66</c:v>
                </c:pt>
                <c:pt idx="5">
                  <c:v>4655.34</c:v>
                </c:pt>
                <c:pt idx="6">
                  <c:v>4669.1400000000003</c:v>
                </c:pt>
                <c:pt idx="7">
                  <c:v>4728.59</c:v>
                </c:pt>
                <c:pt idx="8">
                  <c:v>4733.5600000000004</c:v>
                </c:pt>
                <c:pt idx="9">
                  <c:v>4637.99</c:v>
                </c:pt>
                <c:pt idx="10">
                  <c:v>4632.24</c:v>
                </c:pt>
                <c:pt idx="11">
                  <c:v>4588.03</c:v>
                </c:pt>
                <c:pt idx="12">
                  <c:v>4547.3500000000004</c:v>
                </c:pt>
                <c:pt idx="13">
                  <c:v>4471.38</c:v>
                </c:pt>
                <c:pt idx="14">
                  <c:v>4356.32</c:v>
                </c:pt>
                <c:pt idx="15">
                  <c:v>4366.6400000000003</c:v>
                </c:pt>
                <c:pt idx="16">
                  <c:v>4408.43</c:v>
                </c:pt>
                <c:pt idx="17">
                  <c:v>4380.58</c:v>
                </c:pt>
                <c:pt idx="18">
                  <c:v>4336.1899999999996</c:v>
                </c:pt>
                <c:pt idx="19">
                  <c:v>4431.79</c:v>
                </c:pt>
                <c:pt idx="20">
                  <c:v>4519.57</c:v>
                </c:pt>
                <c:pt idx="21">
                  <c:v>4566.3900000000003</c:v>
                </c:pt>
                <c:pt idx="22">
                  <c:v>4535.41</c:v>
                </c:pt>
                <c:pt idx="23">
                  <c:v>4482.79</c:v>
                </c:pt>
                <c:pt idx="24">
                  <c:v>4505.75</c:v>
                </c:pt>
                <c:pt idx="25">
                  <c:v>4480.0200000000004</c:v>
                </c:pt>
                <c:pt idx="26">
                  <c:v>4547</c:v>
                </c:pt>
                <c:pt idx="27">
                  <c:v>4553.24</c:v>
                </c:pt>
                <c:pt idx="28">
                  <c:v>4506.2700000000004</c:v>
                </c:pt>
                <c:pt idx="29">
                  <c:v>4412.6099999999997</c:v>
                </c:pt>
                <c:pt idx="30">
                  <c:v>4429.28</c:v>
                </c:pt>
                <c:pt idx="31">
                  <c:v>4455.75</c:v>
                </c:pt>
                <c:pt idx="32">
                  <c:v>4456.0600000000004</c:v>
                </c:pt>
                <c:pt idx="33">
                  <c:v>4384.57</c:v>
                </c:pt>
                <c:pt idx="34">
                  <c:v>4332.74</c:v>
                </c:pt>
                <c:pt idx="35">
                  <c:v>4324.93</c:v>
                </c:pt>
                <c:pt idx="36">
                  <c:v>4155.7700000000004</c:v>
                </c:pt>
                <c:pt idx="37">
                  <c:v>4298.38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439-48B5-A7E9-43376D61B5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2331871"/>
        <c:axId val="762329791"/>
      </c:scatterChart>
      <c:valAx>
        <c:axId val="762331871"/>
        <c:scaling>
          <c:orientation val="minMax"/>
          <c:min val="1.0000000000000002E-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1</a:t>
                </a:r>
                <a:r>
                  <a:rPr lang="en-US" baseline="0"/>
                  <a:t> / Price of Crude OIl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2329791"/>
        <c:crosses val="autoZero"/>
        <c:crossBetween val="midCat"/>
      </c:valAx>
      <c:valAx>
        <c:axId val="7623297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S&amp;P</a:t>
                </a:r>
                <a:r>
                  <a:rPr lang="en-US" baseline="0"/>
                  <a:t> 500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23318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Yesterday's</a:t>
            </a:r>
            <a:r>
              <a:rPr lang="en-US" baseline="0"/>
              <a:t> P/E Ratio vs. Today's Stock Price</a:t>
            </a:r>
          </a:p>
        </c:rich>
      </c:tx>
      <c:layout>
        <c:manualLayout>
          <c:xMode val="edge"/>
          <c:yMode val="edge"/>
          <c:x val="7.2243000874890634E-2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2.3461067366579179E-2"/>
                  <c:y val="-0.2157983377077865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NVDA!$B$3:$B$39</c:f>
              <c:numCache>
                <c:formatCode>General</c:formatCode>
                <c:ptCount val="37"/>
                <c:pt idx="0">
                  <c:v>92.82</c:v>
                </c:pt>
                <c:pt idx="1">
                  <c:v>90.26</c:v>
                </c:pt>
                <c:pt idx="2">
                  <c:v>85.07</c:v>
                </c:pt>
                <c:pt idx="3">
                  <c:v>86.84</c:v>
                </c:pt>
                <c:pt idx="4">
                  <c:v>83.97</c:v>
                </c:pt>
                <c:pt idx="5">
                  <c:v>84.44</c:v>
                </c:pt>
                <c:pt idx="6">
                  <c:v>85.72</c:v>
                </c:pt>
                <c:pt idx="7">
                  <c:v>86.28</c:v>
                </c:pt>
                <c:pt idx="8">
                  <c:v>81.900000000000006</c:v>
                </c:pt>
                <c:pt idx="9">
                  <c:v>83.03</c:v>
                </c:pt>
                <c:pt idx="10">
                  <c:v>79.819999999999993</c:v>
                </c:pt>
                <c:pt idx="11">
                  <c:v>77.25</c:v>
                </c:pt>
                <c:pt idx="12">
                  <c:v>74.42</c:v>
                </c:pt>
                <c:pt idx="13">
                  <c:v>72.03</c:v>
                </c:pt>
                <c:pt idx="14">
                  <c:v>72.02</c:v>
                </c:pt>
                <c:pt idx="15">
                  <c:v>68.8</c:v>
                </c:pt>
                <c:pt idx="16">
                  <c:v>70.180000000000007</c:v>
                </c:pt>
                <c:pt idx="17">
                  <c:v>67.62</c:v>
                </c:pt>
                <c:pt idx="18">
                  <c:v>70.39</c:v>
                </c:pt>
                <c:pt idx="19">
                  <c:v>63.64</c:v>
                </c:pt>
                <c:pt idx="20">
                  <c:v>64.040000000000006</c:v>
                </c:pt>
                <c:pt idx="21">
                  <c:v>65.61</c:v>
                </c:pt>
                <c:pt idx="22">
                  <c:v>62.24</c:v>
                </c:pt>
                <c:pt idx="23">
                  <c:v>63.21</c:v>
                </c:pt>
                <c:pt idx="24">
                  <c:v>64.27</c:v>
                </c:pt>
                <c:pt idx="25">
                  <c:v>65.260000000000005</c:v>
                </c:pt>
                <c:pt idx="26">
                  <c:v>69.41</c:v>
                </c:pt>
                <c:pt idx="27">
                  <c:v>67.12</c:v>
                </c:pt>
                <c:pt idx="28">
                  <c:v>62.25</c:v>
                </c:pt>
                <c:pt idx="29">
                  <c:v>63.07</c:v>
                </c:pt>
                <c:pt idx="30">
                  <c:v>68.86</c:v>
                </c:pt>
                <c:pt idx="31">
                  <c:v>68.900000000000006</c:v>
                </c:pt>
                <c:pt idx="32">
                  <c:v>63.7</c:v>
                </c:pt>
                <c:pt idx="33">
                  <c:v>61.45</c:v>
                </c:pt>
                <c:pt idx="34">
                  <c:v>60.79</c:v>
                </c:pt>
                <c:pt idx="35">
                  <c:v>58.19</c:v>
                </c:pt>
                <c:pt idx="36">
                  <c:v>61.72</c:v>
                </c:pt>
              </c:numCache>
            </c:numRef>
          </c:xVal>
          <c:yVal>
            <c:numRef>
              <c:f>NVDA!$C$3:$C$39</c:f>
              <c:numCache>
                <c:formatCode>General</c:formatCode>
                <c:ptCount val="37"/>
                <c:pt idx="0">
                  <c:v>302.77</c:v>
                </c:pt>
                <c:pt idx="1">
                  <c:v>289.49</c:v>
                </c:pt>
                <c:pt idx="2">
                  <c:v>276.39999999999998</c:v>
                </c:pt>
                <c:pt idx="3">
                  <c:v>281.41000000000003</c:v>
                </c:pt>
                <c:pt idx="4">
                  <c:v>265.81</c:v>
                </c:pt>
                <c:pt idx="5">
                  <c:v>273.23</c:v>
                </c:pt>
                <c:pt idx="6">
                  <c:v>280.67</c:v>
                </c:pt>
                <c:pt idx="7">
                  <c:v>283.79000000000002</c:v>
                </c:pt>
                <c:pt idx="8">
                  <c:v>263</c:v>
                </c:pt>
                <c:pt idx="9">
                  <c:v>262.60000000000002</c:v>
                </c:pt>
                <c:pt idx="10">
                  <c:v>260.79000000000002</c:v>
                </c:pt>
                <c:pt idx="11">
                  <c:v>253.04</c:v>
                </c:pt>
                <c:pt idx="12">
                  <c:v>235.07</c:v>
                </c:pt>
                <c:pt idx="13">
                  <c:v>223.3</c:v>
                </c:pt>
                <c:pt idx="14">
                  <c:v>225.46</c:v>
                </c:pt>
                <c:pt idx="15">
                  <c:v>232.4</c:v>
                </c:pt>
                <c:pt idx="16">
                  <c:v>235.68</c:v>
                </c:pt>
                <c:pt idx="17">
                  <c:v>220.12</c:v>
                </c:pt>
                <c:pt idx="18">
                  <c:v>231.82</c:v>
                </c:pt>
                <c:pt idx="19">
                  <c:v>251.04</c:v>
                </c:pt>
                <c:pt idx="20">
                  <c:v>257.94</c:v>
                </c:pt>
                <c:pt idx="21">
                  <c:v>244.58</c:v>
                </c:pt>
                <c:pt idx="22">
                  <c:v>239.72</c:v>
                </c:pt>
                <c:pt idx="23">
                  <c:v>243.72</c:v>
                </c:pt>
                <c:pt idx="24">
                  <c:v>243.59</c:v>
                </c:pt>
                <c:pt idx="25">
                  <c:v>256.22000000000003</c:v>
                </c:pt>
                <c:pt idx="26">
                  <c:v>259.95</c:v>
                </c:pt>
                <c:pt idx="27">
                  <c:v>259.16000000000003</c:v>
                </c:pt>
                <c:pt idx="28">
                  <c:v>239.34</c:v>
                </c:pt>
                <c:pt idx="29">
                  <c:v>249.49</c:v>
                </c:pt>
                <c:pt idx="30">
                  <c:v>262.58999999999997</c:v>
                </c:pt>
                <c:pt idx="31">
                  <c:v>256.3</c:v>
                </c:pt>
                <c:pt idx="32">
                  <c:v>246.68</c:v>
                </c:pt>
                <c:pt idx="33">
                  <c:v>230.35</c:v>
                </c:pt>
                <c:pt idx="34">
                  <c:v>238.02</c:v>
                </c:pt>
                <c:pt idx="35">
                  <c:v>210.15</c:v>
                </c:pt>
                <c:pt idx="36">
                  <c:v>237.21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94B-4BEE-99E8-18A84C0931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2841407"/>
        <c:axId val="882842655"/>
      </c:scatterChart>
      <c:valAx>
        <c:axId val="882841407"/>
        <c:scaling>
          <c:orientation val="minMax"/>
          <c:min val="60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aseline="0"/>
                  <a:t>P/E Ratio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2842655"/>
        <c:crosses val="autoZero"/>
        <c:crossBetween val="midCat"/>
      </c:valAx>
      <c:valAx>
        <c:axId val="882842655"/>
        <c:scaling>
          <c:orientation val="minMax"/>
          <c:max val="310"/>
          <c:min val="2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Stock</a:t>
                </a:r>
                <a:r>
                  <a:rPr lang="en-US" baseline="0"/>
                  <a:t> Price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284140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Yesterday's</a:t>
            </a:r>
            <a:r>
              <a:rPr lang="en-US" baseline="0"/>
              <a:t> P/E Ratio vs. Today's Stock Price</a:t>
            </a:r>
            <a:endParaRPr lang="en-US"/>
          </a:p>
        </c:rich>
      </c:tx>
      <c:layout>
        <c:manualLayout>
          <c:xMode val="edge"/>
          <c:yMode val="edge"/>
          <c:x val="6.9465223097112866E-2"/>
          <c:y val="3.24074074074074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8.9937007874015845E-2"/>
                  <c:y val="-0.2421361913094196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GOOG!$B$3:$B$39</c:f>
              <c:numCache>
                <c:formatCode>General</c:formatCode>
                <c:ptCount val="37"/>
                <c:pt idx="0">
                  <c:v>25.85</c:v>
                </c:pt>
                <c:pt idx="1">
                  <c:v>25.74</c:v>
                </c:pt>
                <c:pt idx="2">
                  <c:v>24.53</c:v>
                </c:pt>
                <c:pt idx="3">
                  <c:v>24.51</c:v>
                </c:pt>
                <c:pt idx="4">
                  <c:v>24.42</c:v>
                </c:pt>
                <c:pt idx="5">
                  <c:v>24.69</c:v>
                </c:pt>
                <c:pt idx="6">
                  <c:v>24.95</c:v>
                </c:pt>
                <c:pt idx="7">
                  <c:v>25.24</c:v>
                </c:pt>
                <c:pt idx="8">
                  <c:v>24.79</c:v>
                </c:pt>
                <c:pt idx="9">
                  <c:v>24.91</c:v>
                </c:pt>
                <c:pt idx="10">
                  <c:v>24.29</c:v>
                </c:pt>
                <c:pt idx="11">
                  <c:v>24.17</c:v>
                </c:pt>
                <c:pt idx="12">
                  <c:v>23.79</c:v>
                </c:pt>
                <c:pt idx="13">
                  <c:v>23.18</c:v>
                </c:pt>
                <c:pt idx="14">
                  <c:v>23.23</c:v>
                </c:pt>
                <c:pt idx="15">
                  <c:v>22.58</c:v>
                </c:pt>
                <c:pt idx="16">
                  <c:v>23.03</c:v>
                </c:pt>
                <c:pt idx="17">
                  <c:v>23.01</c:v>
                </c:pt>
                <c:pt idx="18">
                  <c:v>23.75</c:v>
                </c:pt>
                <c:pt idx="19">
                  <c:v>24.18</c:v>
                </c:pt>
                <c:pt idx="20">
                  <c:v>24.57</c:v>
                </c:pt>
                <c:pt idx="21">
                  <c:v>26.38</c:v>
                </c:pt>
                <c:pt idx="22">
                  <c:v>25.42</c:v>
                </c:pt>
                <c:pt idx="23">
                  <c:v>25.49</c:v>
                </c:pt>
                <c:pt idx="24">
                  <c:v>24.76</c:v>
                </c:pt>
                <c:pt idx="25">
                  <c:v>24.81</c:v>
                </c:pt>
                <c:pt idx="26">
                  <c:v>25.21</c:v>
                </c:pt>
                <c:pt idx="27">
                  <c:v>24.7</c:v>
                </c:pt>
                <c:pt idx="28">
                  <c:v>23.9</c:v>
                </c:pt>
                <c:pt idx="29">
                  <c:v>24.11</c:v>
                </c:pt>
                <c:pt idx="30">
                  <c:v>24.31</c:v>
                </c:pt>
                <c:pt idx="31">
                  <c:v>24.5</c:v>
                </c:pt>
                <c:pt idx="32">
                  <c:v>23.58</c:v>
                </c:pt>
                <c:pt idx="33">
                  <c:v>23.25</c:v>
                </c:pt>
                <c:pt idx="34">
                  <c:v>23.06</c:v>
                </c:pt>
                <c:pt idx="35">
                  <c:v>22.74</c:v>
                </c:pt>
                <c:pt idx="36">
                  <c:v>23.64</c:v>
                </c:pt>
              </c:numCache>
            </c:numRef>
          </c:xVal>
          <c:yVal>
            <c:numRef>
              <c:f>GOOG!$C$3:$C$39</c:f>
              <c:numCache>
                <c:formatCode>#,##0.00</c:formatCode>
                <c:ptCount val="37"/>
                <c:pt idx="0">
                  <c:v>2911.01</c:v>
                </c:pt>
                <c:pt idx="1">
                  <c:v>2883.62</c:v>
                </c:pt>
                <c:pt idx="2">
                  <c:v>2749.95</c:v>
                </c:pt>
                <c:pt idx="3">
                  <c:v>2758.1</c:v>
                </c:pt>
                <c:pt idx="4">
                  <c:v>2701.98</c:v>
                </c:pt>
                <c:pt idx="5">
                  <c:v>2763.61</c:v>
                </c:pt>
                <c:pt idx="6">
                  <c:v>2831.09</c:v>
                </c:pt>
                <c:pt idx="7">
                  <c:v>2836.81</c:v>
                </c:pt>
                <c:pt idx="8">
                  <c:v>2750</c:v>
                </c:pt>
                <c:pt idx="9">
                  <c:v>2732</c:v>
                </c:pt>
                <c:pt idx="10">
                  <c:v>2738.77</c:v>
                </c:pt>
                <c:pt idx="11">
                  <c:v>2730.28</c:v>
                </c:pt>
                <c:pt idx="12">
                  <c:v>2660.24</c:v>
                </c:pt>
                <c:pt idx="13">
                  <c:v>2520.5500000000002</c:v>
                </c:pt>
                <c:pt idx="14">
                  <c:v>2568.71</c:v>
                </c:pt>
                <c:pt idx="15">
                  <c:v>2611.85</c:v>
                </c:pt>
                <c:pt idx="16">
                  <c:v>2627.22</c:v>
                </c:pt>
                <c:pt idx="17">
                  <c:v>2600</c:v>
                </c:pt>
                <c:pt idx="18">
                  <c:v>2683.96</c:v>
                </c:pt>
                <c:pt idx="19">
                  <c:v>2756.7</c:v>
                </c:pt>
                <c:pt idx="20">
                  <c:v>3037.27</c:v>
                </c:pt>
                <c:pt idx="21">
                  <c:v>2905.9</c:v>
                </c:pt>
                <c:pt idx="22">
                  <c:v>2860.34</c:v>
                </c:pt>
                <c:pt idx="23">
                  <c:v>2874.18</c:v>
                </c:pt>
                <c:pt idx="24">
                  <c:v>2779.82</c:v>
                </c:pt>
                <c:pt idx="25">
                  <c:v>2817</c:v>
                </c:pt>
                <c:pt idx="26">
                  <c:v>2790</c:v>
                </c:pt>
                <c:pt idx="27">
                  <c:v>2775</c:v>
                </c:pt>
                <c:pt idx="28">
                  <c:v>2667.31</c:v>
                </c:pt>
                <c:pt idx="29">
                  <c:v>2749.43</c:v>
                </c:pt>
                <c:pt idx="30">
                  <c:v>2728.61</c:v>
                </c:pt>
                <c:pt idx="31">
                  <c:v>2723</c:v>
                </c:pt>
                <c:pt idx="32">
                  <c:v>2660.75</c:v>
                </c:pt>
                <c:pt idx="33">
                  <c:v>2599.6999999999998</c:v>
                </c:pt>
                <c:pt idx="34">
                  <c:v>2621.57</c:v>
                </c:pt>
                <c:pt idx="35">
                  <c:v>2500</c:v>
                </c:pt>
                <c:pt idx="36">
                  <c:v>2670.51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B6C-4E89-BCF1-4936C44000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4855519"/>
        <c:axId val="2134848447"/>
      </c:scatterChart>
      <c:valAx>
        <c:axId val="21348555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Yesterday's</a:t>
                </a:r>
                <a:r>
                  <a:rPr lang="en-US" baseline="0"/>
                  <a:t> P/E Ratio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4848447"/>
        <c:crosses val="autoZero"/>
        <c:crossBetween val="midCat"/>
      </c:valAx>
      <c:valAx>
        <c:axId val="2134848447"/>
        <c:scaling>
          <c:orientation val="minMax"/>
          <c:min val="24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Today's</a:t>
                </a:r>
                <a:r>
                  <a:rPr lang="en-US" baseline="0"/>
                  <a:t> Stock Price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348555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MlwSAzcBOcjdyCx5zwm27Eb1pQ==">AMUW2mU34C+0tARGafKEAL/Czl3x96lqeYM9Di7UFcOMkZo/njZrM8VVseTX2Jrwyl+IPAw4vJto0Ig1tpy3zATQoxE1hx5F061UHCUlVJuV/7ah98q2hyo=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2022-02-27T23:01:00Z</dcterms:created>
  <dc:creator>Hong cheng</dc:creator>
</cp:coreProperties>
</file>