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Winston: some stocks show significant changes when a piece of news comes out but there also exist some lags. Also, it is hard to quantify the impact of news. In general, it might not be the best thing to focus 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Brian: Some strong correlation between tech companies and SP500. Some negative correlation between macroeconomic indicators like unemployment and inflation between SP500.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Eric: high correlation not necessarily causation between oil price and energy sector. </w:t>
      </w:r>
      <w:r w:rsidDel="00000000" w:rsidR="00000000" w:rsidRPr="00000000">
        <w:rPr>
          <w:rtl w:val="0"/>
        </w:rPr>
        <w:t xml:space="preserve">Stock Price Movement Cross-Predictability model may be used to analyze supply chain factors.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Angel: financial statement-targeted value/price, daily variation, difference between target profit(net income) and actual profit(net income). Can use trend/time-period comparative analysis. NLP sentiment.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Wenhao: traditional models/machine learning-some tradeoffs. Transformer/LSTM/XGBoost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Next step: divide into 3 groups. </w:t>
      </w:r>
    </w:p>
    <w:p w:rsidR="00000000" w:rsidDel="00000000" w:rsidP="00000000" w:rsidRDefault="00000000" w:rsidRPr="00000000" w14:paraId="0000000C">
      <w:pPr>
        <w:rPr/>
      </w:pPr>
      <w:r w:rsidDel="00000000" w:rsidR="00000000" w:rsidRPr="00000000">
        <w:rPr>
          <w:rtl w:val="0"/>
        </w:rPr>
        <w:t xml:space="preserve">Wenhao+winston: time-series prediction of SP500</w:t>
      </w:r>
    </w:p>
    <w:p w:rsidR="00000000" w:rsidDel="00000000" w:rsidP="00000000" w:rsidRDefault="00000000" w:rsidRPr="00000000" w14:paraId="0000000D">
      <w:pPr>
        <w:rPr/>
      </w:pPr>
      <w:r w:rsidDel="00000000" w:rsidR="00000000" w:rsidRPr="00000000">
        <w:rPr>
          <w:rtl w:val="0"/>
        </w:rPr>
        <w:t xml:space="preserve">Brain: Correlation between sector/firm/SP500</w:t>
      </w:r>
    </w:p>
    <w:p w:rsidR="00000000" w:rsidDel="00000000" w:rsidP="00000000" w:rsidRDefault="00000000" w:rsidRPr="00000000" w14:paraId="0000000E">
      <w:pPr>
        <w:rPr/>
      </w:pPr>
      <w:r w:rsidDel="00000000" w:rsidR="00000000" w:rsidRPr="00000000">
        <w:rPr>
          <w:rtl w:val="0"/>
        </w:rPr>
        <w:t xml:space="preserve">Angela+Eric: Financial analysis of company financial statement and supply chain.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