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FalconEye Interface Control Document (Example)</w:t>
      </w:r>
    </w:p>
    <w:p>
      <w:r>
        <w:rPr>
          <w:b/>
        </w:rPr>
        <w:t>DID Reference: DI-SESS-81334</w:t>
      </w:r>
    </w:p>
    <w:p>
      <w:r>
        <w:t>NOTE: This is a populated example based on a notional FalconEye program. It is for demonstration of the Optimum Upgrade toolkits and is not an official government format.</w:t>
      </w:r>
    </w:p>
    <w:p/>
    <w:p>
      <w:pPr>
        <w:pStyle w:val="Heading2"/>
      </w:pPr>
      <w:r>
        <w:t>System Context and Interfaces</w:t>
      </w:r>
    </w:p>
    <w:p>
      <w:r>
        <w:t>[FalconEye example content for section: System Context and Interfaces]</w:t>
      </w:r>
    </w:p>
    <w:p/>
    <w:p>
      <w:pPr>
        <w:pStyle w:val="Heading2"/>
      </w:pPr>
      <w:r>
        <w:t>Air Vehicle Interfaces</w:t>
      </w:r>
    </w:p>
    <w:p>
      <w:r>
        <w:t>[FalconEye example content for section: Air Vehicle Interfaces]</w:t>
      </w:r>
    </w:p>
    <w:p/>
    <w:p>
      <w:pPr>
        <w:pStyle w:val="Heading2"/>
      </w:pPr>
      <w:r>
        <w:t>Payload Interfaces</w:t>
      </w:r>
    </w:p>
    <w:p>
      <w:r>
        <w:t>[FalconEye example content for section: Payload Interfaces]</w:t>
      </w:r>
    </w:p>
    <w:p/>
    <w:p>
      <w:pPr>
        <w:pStyle w:val="Heading2"/>
      </w:pPr>
      <w:r>
        <w:t>Datalink and GCS Interfaces</w:t>
      </w:r>
    </w:p>
    <w:p>
      <w:r>
        <w:t>[FalconEye example content for section: Datalink and GCS Interfaces]</w:t>
      </w:r>
    </w:p>
    <w:p/>
    <w:p>
      <w:pPr>
        <w:pStyle w:val="Heading2"/>
      </w:pPr>
      <w:r>
        <w:t>Environmental and EMI/EMC Considerations</w:t>
      </w:r>
    </w:p>
    <w:p>
      <w:r>
        <w:t>[FalconEye example content for section: Environmental and EMI/EMC Considerations]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